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548753" w14:textId="3293A177" w:rsidR="000F0594" w:rsidRPr="00621952" w:rsidRDefault="00621952" w:rsidP="000F0594">
      <w:pPr>
        <w:rPr>
          <w:rFonts w:cs="Arial"/>
          <w:b/>
          <w:bCs/>
          <w:sz w:val="28"/>
          <w:szCs w:val="28"/>
          <w:lang w:val="en-US"/>
        </w:rPr>
      </w:pPr>
      <w:r w:rsidRPr="00621952">
        <w:rPr>
          <w:rFonts w:cs="Arial"/>
          <w:b/>
          <w:bCs/>
          <w:sz w:val="28"/>
          <w:szCs w:val="28"/>
          <w:lang w:val="en-US"/>
        </w:rPr>
        <w:t>The Diagnostic Imperative for Optimized Long-Term</w:t>
      </w:r>
      <w:r>
        <w:rPr>
          <w:rFonts w:cs="Arial"/>
          <w:b/>
          <w:bCs/>
          <w:sz w:val="28"/>
          <w:szCs w:val="28"/>
          <w:lang w:val="en-US"/>
        </w:rPr>
        <w:t xml:space="preserve"> </w:t>
      </w:r>
      <w:r w:rsidRPr="00621952">
        <w:rPr>
          <w:rFonts w:cs="Arial"/>
          <w:b/>
          <w:bCs/>
          <w:sz w:val="28"/>
          <w:szCs w:val="28"/>
          <w:lang w:val="en-US"/>
        </w:rPr>
        <w:t>Management</w:t>
      </w:r>
    </w:p>
    <w:p w14:paraId="1DF5BBE4" w14:textId="77777777" w:rsidR="00621952" w:rsidRPr="00621952" w:rsidRDefault="00621952" w:rsidP="000F0594">
      <w:pPr>
        <w:rPr>
          <w:rFonts w:cs="Arial"/>
          <w:b/>
          <w:bCs/>
          <w:sz w:val="28"/>
          <w:szCs w:val="28"/>
          <w:lang w:val="en-US"/>
        </w:rPr>
      </w:pPr>
    </w:p>
    <w:p w14:paraId="215CB409" w14:textId="77777777" w:rsidR="00362E87" w:rsidRDefault="00362E87" w:rsidP="000F0594">
      <w:pPr>
        <w:rPr>
          <w:rFonts w:cs="Arial"/>
          <w:b/>
          <w:bCs/>
          <w:sz w:val="28"/>
          <w:szCs w:val="28"/>
          <w:lang w:val="en-US"/>
        </w:rPr>
      </w:pPr>
    </w:p>
    <w:p w14:paraId="3ECA8569" w14:textId="7735E880" w:rsidR="000F0594" w:rsidRPr="00CE5D85" w:rsidRDefault="00E17F83" w:rsidP="000F0594">
      <w:pPr>
        <w:rPr>
          <w:rFonts w:cs="Arial"/>
          <w:b/>
          <w:bCs/>
          <w:sz w:val="28"/>
          <w:szCs w:val="28"/>
          <w:lang w:val="en-US"/>
        </w:rPr>
      </w:pPr>
      <w:r w:rsidRPr="00CE5D85">
        <w:rPr>
          <w:rFonts w:cs="Arial"/>
          <w:b/>
          <w:bCs/>
          <w:sz w:val="28"/>
          <w:szCs w:val="28"/>
          <w:lang w:val="en-US"/>
        </w:rPr>
        <w:t>Introduction</w:t>
      </w:r>
    </w:p>
    <w:p w14:paraId="67329588" w14:textId="77777777" w:rsidR="00B03420" w:rsidRPr="00CE5D85" w:rsidRDefault="00B03420" w:rsidP="00E17F83">
      <w:pPr>
        <w:rPr>
          <w:rFonts w:cs="Arial"/>
          <w:sz w:val="22"/>
          <w:szCs w:val="22"/>
          <w:lang w:val="en-US"/>
        </w:rPr>
      </w:pPr>
    </w:p>
    <w:p w14:paraId="36416379" w14:textId="56009B0C" w:rsidR="00D35171" w:rsidRPr="00D35171" w:rsidRDefault="00D35171" w:rsidP="00D35171">
      <w:pPr>
        <w:rPr>
          <w:rFonts w:cs="Arial"/>
          <w:sz w:val="22"/>
          <w:szCs w:val="22"/>
          <w:lang w:val="en-US"/>
        </w:rPr>
      </w:pPr>
      <w:r w:rsidRPr="00D35171">
        <w:rPr>
          <w:rFonts w:cs="Arial"/>
          <w:sz w:val="22"/>
          <w:szCs w:val="22"/>
          <w:lang w:val="en-US"/>
        </w:rPr>
        <w:t xml:space="preserve">Glaucoma is a common ophthalmological pathology. However, </w:t>
      </w:r>
      <w:r w:rsidRPr="00D35171">
        <w:rPr>
          <w:rFonts w:cs="Arial"/>
          <w:b/>
          <w:bCs/>
          <w:sz w:val="22"/>
          <w:szCs w:val="22"/>
          <w:lang w:val="en-US"/>
        </w:rPr>
        <w:t>unilateral intraocular hypertension (IOH)</w:t>
      </w:r>
      <w:r w:rsidRPr="00D35171">
        <w:rPr>
          <w:rFonts w:cs="Arial"/>
          <w:sz w:val="22"/>
          <w:szCs w:val="22"/>
          <w:lang w:val="en-US"/>
        </w:rPr>
        <w:t xml:space="preserve"> is a much rarer situation, which differs from primary open-angle glaucoma (POAG), typically characterized by symmetrical intraocular pressure (IOP) between the two eyes</w:t>
      </w:r>
      <w:r w:rsidR="00CE5D85">
        <w:rPr>
          <w:rFonts w:cs="Arial"/>
          <w:sz w:val="22"/>
          <w:szCs w:val="22"/>
          <w:lang w:val="en-US"/>
        </w:rPr>
        <w:fldChar w:fldCharType="begin"/>
      </w:r>
      <w:r w:rsidR="00CE5D85">
        <w:rPr>
          <w:rFonts w:cs="Arial"/>
          <w:sz w:val="22"/>
          <w:szCs w:val="22"/>
          <w:lang w:val="en-US"/>
        </w:rPr>
        <w:instrText xml:space="preserve"> ADDIN ZOTERO_ITEM CSL_CITATION {"citationID":"lqU1Hr3j","properties":{"formattedCitation":"\\super 1\\nosupersub{}","plainCitation":"1","noteIndex":0},"citationItems":[{"id":1803,"uris":["http://zotero.org/users/7569632/items/FAJU2769"],"itemData":{"id":1803,"type":"article-journal","container-title":"J. Fr. Ophtalmol.","language":"fr","source":"Zotero","title":"Quand l’hypertension oculaire est unilatérale","volume":"29","author":[{"family":"Sellem","given":"E"}],"issued":{"date-parts":[["2006"]]}}}],"schema":"https://github.com/citation-style-language/schema/raw/master/csl-citation.json"} </w:instrText>
      </w:r>
      <w:r w:rsidR="00CE5D85">
        <w:rPr>
          <w:rFonts w:cs="Arial"/>
          <w:sz w:val="22"/>
          <w:szCs w:val="22"/>
          <w:lang w:val="en-US"/>
        </w:rPr>
        <w:fldChar w:fldCharType="separate"/>
      </w:r>
      <w:r w:rsidR="00CE5D85" w:rsidRPr="00CE5D85">
        <w:rPr>
          <w:rFonts w:cs="Arial"/>
          <w:kern w:val="0"/>
          <w:sz w:val="22"/>
          <w:vertAlign w:val="superscript"/>
          <w:lang w:val="en-US"/>
        </w:rPr>
        <w:t>1</w:t>
      </w:r>
      <w:r w:rsidR="00CE5D85">
        <w:rPr>
          <w:rFonts w:cs="Arial"/>
          <w:sz w:val="22"/>
          <w:szCs w:val="22"/>
          <w:lang w:val="en-US"/>
        </w:rPr>
        <w:fldChar w:fldCharType="end"/>
      </w:r>
      <w:r w:rsidR="00CE5D85">
        <w:rPr>
          <w:rFonts w:cs="Arial"/>
          <w:sz w:val="22"/>
          <w:szCs w:val="22"/>
          <w:lang w:val="en-US"/>
        </w:rPr>
        <w:t>.</w:t>
      </w:r>
    </w:p>
    <w:p w14:paraId="0591DB33" w14:textId="77777777" w:rsidR="00D35171" w:rsidRPr="00D35171" w:rsidRDefault="00D35171" w:rsidP="00D35171">
      <w:pPr>
        <w:rPr>
          <w:rFonts w:cs="Arial"/>
          <w:sz w:val="22"/>
          <w:szCs w:val="22"/>
          <w:lang w:val="en-US"/>
        </w:rPr>
      </w:pPr>
      <w:r w:rsidRPr="00D35171">
        <w:rPr>
          <w:rFonts w:cs="Arial"/>
          <w:sz w:val="22"/>
          <w:szCs w:val="22"/>
          <w:lang w:val="en-US"/>
        </w:rPr>
        <w:t xml:space="preserve">This pressure asymmetry is a </w:t>
      </w:r>
      <w:r w:rsidRPr="00D35171">
        <w:rPr>
          <w:rFonts w:cs="Arial"/>
          <w:b/>
          <w:bCs/>
          <w:sz w:val="22"/>
          <w:szCs w:val="22"/>
          <w:lang w:val="en-US"/>
        </w:rPr>
        <w:t>major diagnostic clue</w:t>
      </w:r>
      <w:r w:rsidRPr="00D35171">
        <w:rPr>
          <w:rFonts w:cs="Arial"/>
          <w:sz w:val="22"/>
          <w:szCs w:val="22"/>
          <w:lang w:val="en-US"/>
        </w:rPr>
        <w:t xml:space="preserve">, as it can reveal rare forms of glaucoma or secondary </w:t>
      </w:r>
      <w:proofErr w:type="spellStart"/>
      <w:r w:rsidRPr="00D35171">
        <w:rPr>
          <w:rFonts w:cs="Arial"/>
          <w:sz w:val="22"/>
          <w:szCs w:val="22"/>
          <w:lang w:val="en-US"/>
        </w:rPr>
        <w:t>glaucomas</w:t>
      </w:r>
      <w:proofErr w:type="spellEnd"/>
      <w:r w:rsidRPr="00D35171">
        <w:rPr>
          <w:rFonts w:cs="Arial"/>
          <w:sz w:val="22"/>
          <w:szCs w:val="22"/>
          <w:lang w:val="en-US"/>
        </w:rPr>
        <w:t>, which are often resistant to medical treatment. A precise identification of the cause is essential to adapt patient management, optimize IOP control, and prevent disease progression.</w:t>
      </w:r>
    </w:p>
    <w:p w14:paraId="136207BA" w14:textId="77777777" w:rsidR="00D35171" w:rsidRDefault="00D35171" w:rsidP="00E17F83">
      <w:pPr>
        <w:rPr>
          <w:rFonts w:cs="Arial"/>
          <w:sz w:val="22"/>
          <w:szCs w:val="22"/>
          <w:lang w:val="en-US"/>
        </w:rPr>
      </w:pPr>
    </w:p>
    <w:p w14:paraId="3F21C799" w14:textId="77777777" w:rsidR="00621952" w:rsidRPr="00D35171" w:rsidRDefault="00621952" w:rsidP="00E17F83">
      <w:pPr>
        <w:rPr>
          <w:rFonts w:cs="Arial"/>
          <w:sz w:val="22"/>
          <w:szCs w:val="22"/>
          <w:lang w:val="en-US"/>
        </w:rPr>
      </w:pPr>
    </w:p>
    <w:p w14:paraId="5BC65F62" w14:textId="77777777" w:rsidR="00B03420" w:rsidRPr="00D35171" w:rsidRDefault="00B03420" w:rsidP="00E17F83">
      <w:pPr>
        <w:rPr>
          <w:rFonts w:cs="Arial"/>
          <w:sz w:val="22"/>
          <w:szCs w:val="22"/>
          <w:lang w:val="en-US"/>
        </w:rPr>
      </w:pPr>
    </w:p>
    <w:p w14:paraId="4D19363F" w14:textId="5AE572A0" w:rsidR="00E17F83" w:rsidRPr="00557D17" w:rsidRDefault="00E17F83" w:rsidP="00E17F83">
      <w:pPr>
        <w:rPr>
          <w:rFonts w:cs="Arial"/>
          <w:b/>
          <w:bCs/>
          <w:sz w:val="28"/>
          <w:szCs w:val="28"/>
          <w:lang w:val="en-US"/>
        </w:rPr>
      </w:pPr>
      <w:r w:rsidRPr="00557D17">
        <w:rPr>
          <w:rFonts w:cs="Arial"/>
          <w:b/>
          <w:bCs/>
          <w:sz w:val="28"/>
          <w:szCs w:val="28"/>
          <w:lang w:val="en-US"/>
        </w:rPr>
        <w:t>Case presentation with illustrations and figures</w:t>
      </w:r>
    </w:p>
    <w:p w14:paraId="740AB1E6" w14:textId="77777777" w:rsidR="00FB1495" w:rsidRPr="000166E9" w:rsidRDefault="00FB1495" w:rsidP="00FB1495">
      <w:pPr>
        <w:rPr>
          <w:rFonts w:cs="Arial"/>
          <w:sz w:val="22"/>
          <w:szCs w:val="22"/>
          <w:lang w:val="en-US"/>
        </w:rPr>
      </w:pPr>
    </w:p>
    <w:p w14:paraId="5957B1F3" w14:textId="77777777" w:rsidR="00FB1495" w:rsidRPr="00D35171" w:rsidRDefault="00FB1495" w:rsidP="00FB1495">
      <w:pPr>
        <w:rPr>
          <w:rFonts w:cs="Arial"/>
          <w:sz w:val="22"/>
          <w:szCs w:val="22"/>
          <w:lang w:val="en-US"/>
        </w:rPr>
      </w:pPr>
      <w:r w:rsidRPr="00D35171">
        <w:rPr>
          <w:rFonts w:cs="Arial"/>
          <w:sz w:val="22"/>
          <w:szCs w:val="22"/>
          <w:lang w:val="en-US"/>
        </w:rPr>
        <w:t xml:space="preserve">A 60-year-old female patient was referred to our center for </w:t>
      </w:r>
      <w:r w:rsidRPr="00D35171">
        <w:rPr>
          <w:rFonts w:cs="Arial"/>
          <w:b/>
          <w:bCs/>
          <w:sz w:val="22"/>
          <w:szCs w:val="22"/>
          <w:lang w:val="en-US"/>
        </w:rPr>
        <w:t>unilateral intraocular hypertension (IOH) of the right eye</w:t>
      </w:r>
      <w:r w:rsidRPr="00D35171">
        <w:rPr>
          <w:rFonts w:cs="Arial"/>
          <w:sz w:val="22"/>
          <w:szCs w:val="22"/>
          <w:lang w:val="en-US"/>
        </w:rPr>
        <w:t xml:space="preserve">, which was resistant to a maximum topical regimen (brinzolamide-brimonidine, followed by </w:t>
      </w:r>
      <w:proofErr w:type="spellStart"/>
      <w:r w:rsidRPr="00D35171">
        <w:rPr>
          <w:rFonts w:cs="Arial"/>
          <w:sz w:val="22"/>
          <w:szCs w:val="22"/>
          <w:lang w:val="en-US"/>
        </w:rPr>
        <w:t>bimatoprost</w:t>
      </w:r>
      <w:proofErr w:type="spellEnd"/>
      <w:r w:rsidRPr="00D35171">
        <w:rPr>
          <w:rFonts w:cs="Arial"/>
          <w:sz w:val="22"/>
          <w:szCs w:val="22"/>
          <w:lang w:val="en-US"/>
        </w:rPr>
        <w:t>). Her ophthalmic history was limited to uncomplicated bilateral cataract surgery performed one year prior.</w:t>
      </w:r>
    </w:p>
    <w:p w14:paraId="5DE57E1F" w14:textId="77777777" w:rsidR="005A0511" w:rsidRPr="00CE5D85" w:rsidRDefault="005A0511" w:rsidP="00B03420">
      <w:pPr>
        <w:rPr>
          <w:rFonts w:cs="Arial"/>
          <w:color w:val="4472C4" w:themeColor="accent1"/>
          <w:sz w:val="22"/>
          <w:szCs w:val="22"/>
          <w:lang w:val="en-US"/>
        </w:rPr>
      </w:pPr>
    </w:p>
    <w:p w14:paraId="633EDFDD" w14:textId="30D3D527" w:rsidR="00FB1495" w:rsidRPr="00D35171" w:rsidRDefault="00FB1495" w:rsidP="00FB1495">
      <w:pPr>
        <w:rPr>
          <w:rFonts w:cs="Arial"/>
          <w:sz w:val="22"/>
          <w:szCs w:val="22"/>
          <w:lang w:val="en-US"/>
        </w:rPr>
      </w:pPr>
      <w:r w:rsidRPr="00D35171">
        <w:rPr>
          <w:rFonts w:cs="Arial"/>
          <w:sz w:val="22"/>
          <w:szCs w:val="22"/>
          <w:lang w:val="en-US"/>
        </w:rPr>
        <w:t xml:space="preserve">Upon examination, the right eye presented with marked </w:t>
      </w:r>
      <w:r w:rsidRPr="00D35171">
        <w:rPr>
          <w:rFonts w:cs="Arial"/>
          <w:b/>
          <w:bCs/>
          <w:sz w:val="22"/>
          <w:szCs w:val="22"/>
          <w:lang w:val="en-US"/>
        </w:rPr>
        <w:t>conjunctival hyperemia</w:t>
      </w:r>
      <w:r w:rsidRPr="00D35171">
        <w:rPr>
          <w:rFonts w:cs="Arial"/>
          <w:sz w:val="22"/>
          <w:szCs w:val="22"/>
          <w:lang w:val="en-US"/>
        </w:rPr>
        <w:t>, a Tyndall grade 2+, and an intraocular pressure (IOP) of 30 mmHg. The contralateral eye was strictly normal.</w:t>
      </w:r>
    </w:p>
    <w:p w14:paraId="7E1F0EE7" w14:textId="77777777" w:rsidR="00FB1495" w:rsidRPr="00D35171" w:rsidRDefault="00FB1495" w:rsidP="00FB1495">
      <w:pPr>
        <w:rPr>
          <w:rFonts w:cs="Arial"/>
          <w:sz w:val="22"/>
          <w:szCs w:val="22"/>
          <w:lang w:val="en-US"/>
        </w:rPr>
      </w:pPr>
      <w:r w:rsidRPr="00D35171">
        <w:rPr>
          <w:rFonts w:cs="Arial"/>
          <w:sz w:val="22"/>
          <w:szCs w:val="22"/>
          <w:lang w:val="en-US"/>
        </w:rPr>
        <w:t>Due to a suspected major intolerance to the eye drops, a therapeutic wash-out was initiated. One week later, the inflammation had resolved, confirming the diagnosis of iatrogenic uveitis. However, the IOP remained at 30 mmHg. Additionally, a noticeable dilation of the episcleral vessels was present compared to the contralateral side (Fig. 1). The optic nerve examination showed no signs of glaucomatous neuropathy (Fig. 2).</w:t>
      </w:r>
    </w:p>
    <w:p w14:paraId="0CD0CB87" w14:textId="77777777" w:rsidR="00FB1495" w:rsidRDefault="00FB1495" w:rsidP="00D35171">
      <w:pPr>
        <w:rPr>
          <w:rFonts w:cs="Arial"/>
          <w:sz w:val="22"/>
          <w:szCs w:val="22"/>
          <w:lang w:val="en-US"/>
        </w:rPr>
      </w:pPr>
    </w:p>
    <w:p w14:paraId="44D716C5" w14:textId="77777777" w:rsidR="00D35171" w:rsidRPr="00D35171" w:rsidRDefault="00D35171" w:rsidP="00D35171">
      <w:pPr>
        <w:rPr>
          <w:rFonts w:cs="Arial"/>
          <w:sz w:val="22"/>
          <w:szCs w:val="22"/>
          <w:lang w:val="en-US"/>
        </w:rPr>
      </w:pPr>
      <w:r w:rsidRPr="00D35171">
        <w:rPr>
          <w:rFonts w:cs="Arial"/>
          <w:sz w:val="22"/>
          <w:szCs w:val="22"/>
          <w:lang w:val="en-US"/>
        </w:rPr>
        <w:t>Given this persistent unilateral IOH, a systematic diagnostic workup was initiated. The most common etiologies were successively eliminated:</w:t>
      </w:r>
    </w:p>
    <w:p w14:paraId="0A915BD6" w14:textId="77777777" w:rsidR="00D35171" w:rsidRPr="00D35171" w:rsidRDefault="00D35171" w:rsidP="00D35171">
      <w:pPr>
        <w:numPr>
          <w:ilvl w:val="0"/>
          <w:numId w:val="11"/>
        </w:numPr>
        <w:rPr>
          <w:rFonts w:cs="Arial"/>
          <w:sz w:val="22"/>
          <w:szCs w:val="22"/>
          <w:lang w:val="en-US"/>
        </w:rPr>
      </w:pPr>
      <w:r w:rsidRPr="00D35171">
        <w:rPr>
          <w:rFonts w:cs="Arial"/>
          <w:b/>
          <w:bCs/>
          <w:sz w:val="22"/>
          <w:szCs w:val="22"/>
          <w:lang w:val="en-US"/>
        </w:rPr>
        <w:t>Steroid-induced glaucoma:</w:t>
      </w:r>
      <w:r w:rsidRPr="00D35171">
        <w:rPr>
          <w:rFonts w:cs="Arial"/>
          <w:sz w:val="22"/>
          <w:szCs w:val="22"/>
          <w:lang w:val="en-US"/>
        </w:rPr>
        <w:t xml:space="preserve"> Patient history ruled out any corticosteroid use.</w:t>
      </w:r>
    </w:p>
    <w:p w14:paraId="057CD32C" w14:textId="22760186" w:rsidR="00D35171" w:rsidRPr="00D35171" w:rsidRDefault="00D35171" w:rsidP="00D35171">
      <w:pPr>
        <w:numPr>
          <w:ilvl w:val="0"/>
          <w:numId w:val="11"/>
        </w:numPr>
        <w:rPr>
          <w:rFonts w:cs="Arial"/>
          <w:sz w:val="22"/>
          <w:szCs w:val="22"/>
          <w:lang w:val="en-US"/>
        </w:rPr>
      </w:pPr>
      <w:r w:rsidRPr="00D35171">
        <w:rPr>
          <w:rFonts w:cs="Arial"/>
          <w:b/>
          <w:bCs/>
          <w:sz w:val="22"/>
          <w:szCs w:val="22"/>
          <w:lang w:val="en-US"/>
        </w:rPr>
        <w:t>Inflammatory glaucoma:</w:t>
      </w:r>
      <w:r w:rsidRPr="00D35171">
        <w:rPr>
          <w:rFonts w:cs="Arial"/>
          <w:sz w:val="22"/>
          <w:szCs w:val="22"/>
          <w:lang w:val="en-US"/>
        </w:rPr>
        <w:t xml:space="preserve"> The complete resolution of inflammation after discontinuing the eye drops, along with normal anterior chamber paracentesis (PCR for HSV/VZV and IL-10 levels</w:t>
      </w:r>
      <w:r w:rsidR="00895143">
        <w:rPr>
          <w:rFonts w:cs="Arial"/>
          <w:sz w:val="22"/>
          <w:szCs w:val="22"/>
          <w:lang w:val="en-US"/>
        </w:rPr>
        <w:t>)</w:t>
      </w:r>
      <w:r w:rsidRPr="00D35171">
        <w:rPr>
          <w:rFonts w:cs="Arial"/>
          <w:sz w:val="22"/>
          <w:szCs w:val="22"/>
          <w:lang w:val="en-US"/>
        </w:rPr>
        <w:t>, made this hypothesis unlikely.</w:t>
      </w:r>
    </w:p>
    <w:p w14:paraId="20BDFBD4" w14:textId="77777777" w:rsidR="00D35171" w:rsidRPr="00D35171" w:rsidRDefault="00D35171" w:rsidP="00D35171">
      <w:pPr>
        <w:numPr>
          <w:ilvl w:val="0"/>
          <w:numId w:val="11"/>
        </w:numPr>
        <w:rPr>
          <w:rFonts w:cs="Arial"/>
          <w:sz w:val="22"/>
          <w:szCs w:val="22"/>
          <w:lang w:val="en-US"/>
        </w:rPr>
      </w:pPr>
      <w:r w:rsidRPr="00D35171">
        <w:rPr>
          <w:rFonts w:cs="Arial"/>
          <w:b/>
          <w:bCs/>
          <w:sz w:val="22"/>
          <w:szCs w:val="22"/>
          <w:lang w:val="en-US"/>
        </w:rPr>
        <w:t>Neovascular glaucoma:</w:t>
      </w:r>
      <w:r w:rsidRPr="00D35171">
        <w:rPr>
          <w:rFonts w:cs="Arial"/>
          <w:sz w:val="22"/>
          <w:szCs w:val="22"/>
          <w:lang w:val="en-US"/>
        </w:rPr>
        <w:t xml:space="preserve"> The absence of iris rubeosis and a normal fundus examination allowed us to exclude this.</w:t>
      </w:r>
    </w:p>
    <w:p w14:paraId="3372BA60" w14:textId="77777777" w:rsidR="00D35171" w:rsidRPr="00D35171" w:rsidRDefault="00D35171" w:rsidP="00D35171">
      <w:pPr>
        <w:numPr>
          <w:ilvl w:val="0"/>
          <w:numId w:val="11"/>
        </w:numPr>
        <w:rPr>
          <w:rFonts w:cs="Arial"/>
          <w:sz w:val="22"/>
          <w:szCs w:val="22"/>
          <w:lang w:val="en-US"/>
        </w:rPr>
      </w:pPr>
      <w:r w:rsidRPr="00D35171">
        <w:rPr>
          <w:rFonts w:cs="Arial"/>
          <w:b/>
          <w:bCs/>
          <w:sz w:val="22"/>
          <w:szCs w:val="22"/>
          <w:lang w:val="en-US"/>
        </w:rPr>
        <w:t>Angle-closure glaucoma</w:t>
      </w:r>
      <w:r w:rsidRPr="00D35171">
        <w:rPr>
          <w:rFonts w:cs="Arial"/>
          <w:sz w:val="22"/>
          <w:szCs w:val="22"/>
          <w:lang w:val="en-US"/>
        </w:rPr>
        <w:t xml:space="preserve"> (primary or secondary) or </w:t>
      </w:r>
      <w:r w:rsidRPr="00D35171">
        <w:rPr>
          <w:rFonts w:cs="Arial"/>
          <w:b/>
          <w:bCs/>
          <w:sz w:val="22"/>
          <w:szCs w:val="22"/>
          <w:lang w:val="en-US"/>
        </w:rPr>
        <w:t>post-traumatic glaucoma:</w:t>
      </w:r>
      <w:r w:rsidRPr="00D35171">
        <w:rPr>
          <w:rFonts w:cs="Arial"/>
          <w:sz w:val="22"/>
          <w:szCs w:val="22"/>
          <w:lang w:val="en-US"/>
        </w:rPr>
        <w:t xml:space="preserve"> Gonioscopy revealed an open angle without recession (Fig. 3).</w:t>
      </w:r>
    </w:p>
    <w:p w14:paraId="5364BDDB" w14:textId="77777777" w:rsidR="00D35171" w:rsidRPr="00D35171" w:rsidRDefault="00D35171" w:rsidP="00D35171">
      <w:pPr>
        <w:numPr>
          <w:ilvl w:val="0"/>
          <w:numId w:val="11"/>
        </w:numPr>
        <w:rPr>
          <w:rFonts w:cs="Arial"/>
          <w:sz w:val="22"/>
          <w:szCs w:val="22"/>
          <w:lang w:val="en-US"/>
        </w:rPr>
      </w:pPr>
      <w:r w:rsidRPr="00D35171">
        <w:rPr>
          <w:rFonts w:cs="Arial"/>
          <w:b/>
          <w:bCs/>
          <w:sz w:val="22"/>
          <w:szCs w:val="22"/>
          <w:lang w:val="en-US"/>
        </w:rPr>
        <w:t>UGH syndrome:</w:t>
      </w:r>
      <w:r w:rsidRPr="00D35171">
        <w:rPr>
          <w:rFonts w:cs="Arial"/>
          <w:sz w:val="22"/>
          <w:szCs w:val="22"/>
          <w:lang w:val="en-US"/>
        </w:rPr>
        <w:t xml:space="preserve"> Anterior segment OCT confirmed the proper positioning of the intraocular lens (Fig. 4). The lack of any other surgical history also ruled out postoperative glaucoma.</w:t>
      </w:r>
    </w:p>
    <w:p w14:paraId="5AD45140" w14:textId="77777777" w:rsidR="00D35171" w:rsidRPr="00D35171" w:rsidRDefault="00D35171" w:rsidP="00D35171">
      <w:pPr>
        <w:numPr>
          <w:ilvl w:val="0"/>
          <w:numId w:val="11"/>
        </w:numPr>
        <w:rPr>
          <w:rFonts w:cs="Arial"/>
          <w:sz w:val="22"/>
          <w:szCs w:val="22"/>
          <w:lang w:val="en-US"/>
        </w:rPr>
      </w:pPr>
      <w:r w:rsidRPr="00D35171">
        <w:rPr>
          <w:rFonts w:cs="Arial"/>
          <w:b/>
          <w:bCs/>
          <w:sz w:val="22"/>
          <w:szCs w:val="22"/>
          <w:lang w:val="en-US"/>
        </w:rPr>
        <w:t xml:space="preserve">Episcleral venous </w:t>
      </w:r>
      <w:proofErr w:type="spellStart"/>
      <w:r w:rsidRPr="00D35171">
        <w:rPr>
          <w:rFonts w:cs="Arial"/>
          <w:b/>
          <w:bCs/>
          <w:sz w:val="22"/>
          <w:szCs w:val="22"/>
          <w:lang w:val="en-US"/>
        </w:rPr>
        <w:t>hyperpressure</w:t>
      </w:r>
      <w:proofErr w:type="spellEnd"/>
      <w:r w:rsidRPr="00D35171">
        <w:rPr>
          <w:rFonts w:cs="Arial"/>
          <w:b/>
          <w:bCs/>
          <w:sz w:val="22"/>
          <w:szCs w:val="22"/>
          <w:lang w:val="en-US"/>
        </w:rPr>
        <w:t>:</w:t>
      </w:r>
      <w:r w:rsidRPr="00D35171">
        <w:rPr>
          <w:rFonts w:cs="Arial"/>
          <w:sz w:val="22"/>
          <w:szCs w:val="22"/>
          <w:lang w:val="en-US"/>
        </w:rPr>
        <w:t xml:space="preserve"> Despite the dilated episcleral vessels, an angio-MRI showed no anomalies.</w:t>
      </w:r>
    </w:p>
    <w:p w14:paraId="1E3DE429" w14:textId="77777777" w:rsidR="00D35171" w:rsidRPr="00D35171" w:rsidRDefault="00D35171" w:rsidP="00D35171">
      <w:pPr>
        <w:rPr>
          <w:rFonts w:cs="Arial"/>
          <w:sz w:val="22"/>
          <w:szCs w:val="22"/>
          <w:lang w:val="en-US"/>
        </w:rPr>
      </w:pPr>
      <w:r w:rsidRPr="00D35171">
        <w:rPr>
          <w:rFonts w:cs="Arial"/>
          <w:sz w:val="22"/>
          <w:szCs w:val="22"/>
          <w:lang w:val="en-US"/>
        </w:rPr>
        <w:t xml:space="preserve">The remaining hypotheses were </w:t>
      </w:r>
      <w:r w:rsidRPr="00D35171">
        <w:rPr>
          <w:rFonts w:cs="Arial"/>
          <w:b/>
          <w:bCs/>
          <w:sz w:val="22"/>
          <w:szCs w:val="22"/>
          <w:lang w:val="en-US"/>
        </w:rPr>
        <w:t>ICE syndrome</w:t>
      </w:r>
      <w:r w:rsidRPr="00D35171">
        <w:rPr>
          <w:rFonts w:cs="Arial"/>
          <w:sz w:val="22"/>
          <w:szCs w:val="22"/>
          <w:lang w:val="en-US"/>
        </w:rPr>
        <w:t xml:space="preserve"> or </w:t>
      </w:r>
      <w:proofErr w:type="spellStart"/>
      <w:r w:rsidRPr="00D35171">
        <w:rPr>
          <w:rFonts w:cs="Arial"/>
          <w:b/>
          <w:bCs/>
          <w:sz w:val="22"/>
          <w:szCs w:val="22"/>
          <w:lang w:val="en-US"/>
        </w:rPr>
        <w:t>pseudoexfoliation</w:t>
      </w:r>
      <w:proofErr w:type="spellEnd"/>
      <w:r w:rsidRPr="00D35171">
        <w:rPr>
          <w:rFonts w:cs="Arial"/>
          <w:b/>
          <w:bCs/>
          <w:sz w:val="22"/>
          <w:szCs w:val="22"/>
          <w:lang w:val="en-US"/>
        </w:rPr>
        <w:t xml:space="preserve"> syndrome (PEX)</w:t>
      </w:r>
      <w:r w:rsidRPr="00D35171">
        <w:rPr>
          <w:rFonts w:cs="Arial"/>
          <w:sz w:val="22"/>
          <w:szCs w:val="22"/>
          <w:lang w:val="en-US"/>
        </w:rPr>
        <w:t xml:space="preserve">. No obvious clinical signs were found on slit-lamp examination, apart from a potential </w:t>
      </w:r>
      <w:proofErr w:type="spellStart"/>
      <w:r w:rsidRPr="00D35171">
        <w:rPr>
          <w:rFonts w:cs="Arial"/>
          <w:sz w:val="22"/>
          <w:szCs w:val="22"/>
          <w:lang w:val="en-US"/>
        </w:rPr>
        <w:t>Sampaolesi's</w:t>
      </w:r>
      <w:proofErr w:type="spellEnd"/>
      <w:r w:rsidRPr="00D35171">
        <w:rPr>
          <w:rFonts w:cs="Arial"/>
          <w:sz w:val="22"/>
          <w:szCs w:val="22"/>
          <w:lang w:val="en-US"/>
        </w:rPr>
        <w:t xml:space="preserve"> line in the inferior quadrant (Fig. 3).</w:t>
      </w:r>
    </w:p>
    <w:p w14:paraId="029D02AC" w14:textId="7FE791D9" w:rsidR="00065DE6" w:rsidRPr="00FB1495" w:rsidRDefault="00D35171" w:rsidP="000F0594">
      <w:pPr>
        <w:rPr>
          <w:rFonts w:cs="Arial"/>
          <w:sz w:val="22"/>
          <w:szCs w:val="22"/>
          <w:lang w:val="en-US"/>
        </w:rPr>
      </w:pPr>
      <w:r w:rsidRPr="00D35171">
        <w:rPr>
          <w:rFonts w:cs="Arial"/>
          <w:sz w:val="22"/>
          <w:szCs w:val="22"/>
          <w:lang w:val="en-US"/>
        </w:rPr>
        <w:t xml:space="preserve">The definitive diagnosis was ultimately established through a detailed corneal examination. </w:t>
      </w:r>
      <w:r w:rsidRPr="00D35171">
        <w:rPr>
          <w:rFonts w:cs="Arial"/>
          <w:b/>
          <w:bCs/>
          <w:sz w:val="22"/>
          <w:szCs w:val="22"/>
          <w:lang w:val="en-US"/>
        </w:rPr>
        <w:t>Specular microscopy</w:t>
      </w:r>
      <w:r w:rsidRPr="00D35171">
        <w:rPr>
          <w:rFonts w:cs="Arial"/>
          <w:sz w:val="22"/>
          <w:szCs w:val="22"/>
          <w:lang w:val="en-US"/>
        </w:rPr>
        <w:t xml:space="preserve"> (Fig. 5) showed a decrease in cell density, preserved nuclear-to-cytoplasmic ratio, and the presence of hyperreflective central nuclei indicating high metabolic </w:t>
      </w:r>
      <w:r w:rsidRPr="00D35171">
        <w:rPr>
          <w:rFonts w:cs="Arial"/>
          <w:sz w:val="22"/>
          <w:szCs w:val="22"/>
          <w:lang w:val="en-US"/>
        </w:rPr>
        <w:lastRenderedPageBreak/>
        <w:t xml:space="preserve">activity, along with marked pleomorphism and </w:t>
      </w:r>
      <w:proofErr w:type="spellStart"/>
      <w:r w:rsidRPr="00D35171">
        <w:rPr>
          <w:rFonts w:cs="Arial"/>
          <w:sz w:val="22"/>
          <w:szCs w:val="22"/>
          <w:lang w:val="en-US"/>
        </w:rPr>
        <w:t>polymegathism</w:t>
      </w:r>
      <w:proofErr w:type="spellEnd"/>
      <w:r w:rsidRPr="00D35171">
        <w:rPr>
          <w:rFonts w:cs="Arial"/>
          <w:sz w:val="22"/>
          <w:szCs w:val="22"/>
          <w:lang w:val="en-US"/>
        </w:rPr>
        <w:t xml:space="preserve"> of the endothelial cells. </w:t>
      </w:r>
      <w:r w:rsidRPr="00D35171">
        <w:rPr>
          <w:rFonts w:cs="Arial"/>
          <w:b/>
          <w:bCs/>
          <w:sz w:val="22"/>
          <w:szCs w:val="22"/>
          <w:lang w:val="en-US"/>
        </w:rPr>
        <w:t>In vivo confocal microscopy</w:t>
      </w:r>
      <w:r w:rsidRPr="00D35171">
        <w:rPr>
          <w:rFonts w:cs="Arial"/>
          <w:sz w:val="22"/>
          <w:szCs w:val="22"/>
          <w:lang w:val="en-US"/>
        </w:rPr>
        <w:t xml:space="preserve"> (Fig. 6) revealed disseminated hyperreflective spots on the posterior surface of the corneal endothelium.</w:t>
      </w:r>
    </w:p>
    <w:p w14:paraId="45126090" w14:textId="3C56E300" w:rsidR="00895143" w:rsidRPr="00895143" w:rsidRDefault="00895143" w:rsidP="00895143">
      <w:pPr>
        <w:rPr>
          <w:rFonts w:cs="Arial"/>
          <w:sz w:val="22"/>
          <w:szCs w:val="22"/>
          <w:lang w:val="en-US"/>
        </w:rPr>
      </w:pPr>
      <w:r w:rsidRPr="00895143">
        <w:rPr>
          <w:rFonts w:cs="Arial"/>
          <w:sz w:val="22"/>
          <w:szCs w:val="22"/>
          <w:lang w:val="en-US"/>
        </w:rPr>
        <w:t>This corneal endothelium appearance was suggestive of PEX</w:t>
      </w:r>
      <w:r>
        <w:rPr>
          <w:rFonts w:cs="Arial"/>
          <w:sz w:val="22"/>
          <w:szCs w:val="22"/>
          <w:lang w:val="en-US"/>
        </w:rPr>
        <w:t>.</w:t>
      </w:r>
    </w:p>
    <w:p w14:paraId="60983A82" w14:textId="77777777" w:rsidR="00D35171" w:rsidRPr="00CE5D85" w:rsidRDefault="00D35171" w:rsidP="000F0594">
      <w:pPr>
        <w:rPr>
          <w:rFonts w:cs="Arial"/>
          <w:sz w:val="22"/>
          <w:szCs w:val="22"/>
          <w:lang w:val="en-US"/>
        </w:rPr>
      </w:pPr>
    </w:p>
    <w:p w14:paraId="42417D75" w14:textId="77777777" w:rsidR="00621952" w:rsidRDefault="00621952" w:rsidP="00D35171">
      <w:pPr>
        <w:rPr>
          <w:rFonts w:cs="Arial"/>
          <w:b/>
          <w:bCs/>
          <w:sz w:val="22"/>
          <w:szCs w:val="22"/>
          <w:lang w:val="en-US"/>
        </w:rPr>
      </w:pPr>
    </w:p>
    <w:p w14:paraId="1642FAEB" w14:textId="0DF31A38" w:rsidR="00D35171" w:rsidRPr="00D35171" w:rsidRDefault="00D35171" w:rsidP="00D35171">
      <w:pPr>
        <w:rPr>
          <w:rFonts w:cs="Arial"/>
          <w:b/>
          <w:bCs/>
          <w:sz w:val="22"/>
          <w:szCs w:val="22"/>
          <w:lang w:val="en-US"/>
        </w:rPr>
      </w:pPr>
      <w:r w:rsidRPr="00D35171">
        <w:rPr>
          <w:rFonts w:cs="Arial"/>
          <w:b/>
          <w:bCs/>
          <w:sz w:val="22"/>
          <w:szCs w:val="22"/>
          <w:lang w:val="en-US"/>
        </w:rPr>
        <w:t>Management and Evolution</w:t>
      </w:r>
    </w:p>
    <w:p w14:paraId="22A0BA87" w14:textId="77777777" w:rsidR="00D35171" w:rsidRPr="00D35171" w:rsidRDefault="00D35171" w:rsidP="00D35171">
      <w:pPr>
        <w:rPr>
          <w:rFonts w:cs="Arial"/>
          <w:sz w:val="22"/>
          <w:szCs w:val="22"/>
          <w:lang w:val="en-US"/>
        </w:rPr>
      </w:pPr>
      <w:r w:rsidRPr="00D35171">
        <w:rPr>
          <w:rFonts w:cs="Arial"/>
          <w:sz w:val="22"/>
          <w:szCs w:val="22"/>
          <w:lang w:val="en-US"/>
        </w:rPr>
        <w:t xml:space="preserve">Given the persistent IOH and severe intolerance to eye drops, a filtering surgery—specifically, a </w:t>
      </w:r>
      <w:r w:rsidRPr="00D35171">
        <w:rPr>
          <w:rFonts w:cs="Arial"/>
          <w:b/>
          <w:bCs/>
          <w:sz w:val="22"/>
          <w:szCs w:val="22"/>
          <w:lang w:val="en-US"/>
        </w:rPr>
        <w:t>non-perforating deep sclerectomy</w:t>
      </w:r>
      <w:r w:rsidRPr="00D35171">
        <w:rPr>
          <w:rFonts w:cs="Arial"/>
          <w:sz w:val="22"/>
          <w:szCs w:val="22"/>
          <w:lang w:val="en-US"/>
        </w:rPr>
        <w:t>—was performed without complications.</w:t>
      </w:r>
    </w:p>
    <w:p w14:paraId="24E56B40" w14:textId="12DE5AEF" w:rsidR="008D5D28" w:rsidRDefault="008D5D28" w:rsidP="00D35171">
      <w:pPr>
        <w:rPr>
          <w:rFonts w:cs="Arial"/>
          <w:sz w:val="22"/>
          <w:szCs w:val="22"/>
          <w:lang w:val="en-US"/>
        </w:rPr>
      </w:pPr>
      <w:r w:rsidRPr="008D5D28">
        <w:rPr>
          <w:rFonts w:cs="Arial"/>
          <w:sz w:val="22"/>
          <w:szCs w:val="22"/>
          <w:lang w:val="en-US"/>
        </w:rPr>
        <w:t xml:space="preserve">The IOP was maintained at a controlled level (12–13 mmHg) through sequential adjustments, including a laser </w:t>
      </w:r>
      <w:proofErr w:type="spellStart"/>
      <w:r w:rsidRPr="008D5D28">
        <w:rPr>
          <w:rFonts w:cs="Arial"/>
          <w:sz w:val="22"/>
          <w:szCs w:val="22"/>
          <w:lang w:val="en-US"/>
        </w:rPr>
        <w:t>goniopuncture</w:t>
      </w:r>
      <w:proofErr w:type="spellEnd"/>
      <w:r w:rsidRPr="008D5D28">
        <w:rPr>
          <w:rFonts w:cs="Arial"/>
          <w:sz w:val="22"/>
          <w:szCs w:val="22"/>
          <w:lang w:val="en-US"/>
        </w:rPr>
        <w:t xml:space="preserve"> (3 months) and a late bleb needling with 5-FU (2 years)</w:t>
      </w:r>
      <w:r>
        <w:rPr>
          <w:rFonts w:cs="Arial"/>
          <w:sz w:val="22"/>
          <w:szCs w:val="22"/>
          <w:lang w:val="en-US"/>
        </w:rPr>
        <w:t>.</w:t>
      </w:r>
    </w:p>
    <w:p w14:paraId="23AFB67F" w14:textId="1050393D" w:rsidR="00D35171" w:rsidRPr="00D35171" w:rsidRDefault="00D35171" w:rsidP="00D35171">
      <w:pPr>
        <w:rPr>
          <w:rFonts w:cs="Arial"/>
          <w:sz w:val="22"/>
          <w:szCs w:val="22"/>
          <w:lang w:val="en-US"/>
        </w:rPr>
      </w:pPr>
      <w:r w:rsidRPr="00D35171">
        <w:rPr>
          <w:rFonts w:cs="Arial"/>
          <w:sz w:val="22"/>
          <w:szCs w:val="22"/>
          <w:lang w:val="en-US"/>
        </w:rPr>
        <w:t>Regarding the left eye, a borderline and fluctuating IOP led to the progressive initiation of a topical hypotensive treatment: first with latanoprost, then with a preservative-free latanoprost-timolol combination.</w:t>
      </w:r>
    </w:p>
    <w:p w14:paraId="26F8EBAC" w14:textId="4446117E" w:rsidR="00D35171" w:rsidRPr="00225739" w:rsidRDefault="00D35171" w:rsidP="00D35171">
      <w:pPr>
        <w:rPr>
          <w:rFonts w:cs="Arial"/>
          <w:sz w:val="22"/>
          <w:szCs w:val="22"/>
          <w:lang w:val="en-US"/>
        </w:rPr>
      </w:pPr>
      <w:r w:rsidRPr="00225739">
        <w:rPr>
          <w:rFonts w:cs="Arial"/>
          <w:sz w:val="22"/>
          <w:szCs w:val="22"/>
          <w:lang w:val="en-US"/>
        </w:rPr>
        <w:t xml:space="preserve">At the most recent check-up, </w:t>
      </w:r>
      <w:r w:rsidR="00F93BC1" w:rsidRPr="00225739">
        <w:rPr>
          <w:rFonts w:cs="Arial"/>
          <w:sz w:val="22"/>
          <w:szCs w:val="22"/>
          <w:lang w:val="en-US"/>
        </w:rPr>
        <w:t xml:space="preserve">four </w:t>
      </w:r>
      <w:r w:rsidRPr="00225739">
        <w:rPr>
          <w:rFonts w:cs="Arial"/>
          <w:sz w:val="22"/>
          <w:szCs w:val="22"/>
          <w:lang w:val="en-US"/>
        </w:rPr>
        <w:t xml:space="preserve">years after the initial </w:t>
      </w:r>
      <w:r w:rsidR="00621952">
        <w:rPr>
          <w:rFonts w:cs="Arial"/>
          <w:sz w:val="22"/>
          <w:szCs w:val="22"/>
          <w:lang w:val="en-US"/>
        </w:rPr>
        <w:t>diagnosis</w:t>
      </w:r>
      <w:r w:rsidRPr="00225739">
        <w:rPr>
          <w:rFonts w:cs="Arial"/>
          <w:sz w:val="22"/>
          <w:szCs w:val="22"/>
          <w:lang w:val="en-US"/>
        </w:rPr>
        <w:t>, the patient had stable IOP in both eyes</w:t>
      </w:r>
      <w:r w:rsidR="00F93BC1" w:rsidRPr="00225739">
        <w:rPr>
          <w:rFonts w:cs="Arial"/>
          <w:sz w:val="22"/>
          <w:szCs w:val="22"/>
          <w:lang w:val="en-US"/>
        </w:rPr>
        <w:t xml:space="preserve">. Event-based and trend analyses of visual field </w:t>
      </w:r>
      <w:r w:rsidRPr="00225739">
        <w:rPr>
          <w:rFonts w:cs="Arial"/>
          <w:sz w:val="22"/>
          <w:szCs w:val="22"/>
          <w:lang w:val="en-US"/>
        </w:rPr>
        <w:t>demonstrat</w:t>
      </w:r>
      <w:r w:rsidR="00F93BC1" w:rsidRPr="00225739">
        <w:rPr>
          <w:rFonts w:cs="Arial"/>
          <w:sz w:val="22"/>
          <w:szCs w:val="22"/>
          <w:lang w:val="en-US"/>
        </w:rPr>
        <w:t>e</w:t>
      </w:r>
      <w:r w:rsidRPr="00225739">
        <w:rPr>
          <w:rFonts w:cs="Arial"/>
          <w:sz w:val="22"/>
          <w:szCs w:val="22"/>
          <w:lang w:val="en-US"/>
        </w:rPr>
        <w:t xml:space="preserve"> excellent long-term disease control</w:t>
      </w:r>
      <w:r w:rsidR="00895143" w:rsidRPr="00225739">
        <w:rPr>
          <w:rFonts w:cs="Arial"/>
          <w:sz w:val="22"/>
          <w:szCs w:val="22"/>
          <w:lang w:val="en-US"/>
        </w:rPr>
        <w:t xml:space="preserve"> </w:t>
      </w:r>
      <w:r w:rsidRPr="00225739">
        <w:rPr>
          <w:rFonts w:cs="Arial"/>
          <w:sz w:val="22"/>
          <w:szCs w:val="22"/>
          <w:lang w:val="en-US"/>
        </w:rPr>
        <w:t>in this relatively young patient</w:t>
      </w:r>
      <w:r w:rsidR="00F93BC1" w:rsidRPr="00225739">
        <w:rPr>
          <w:rFonts w:cs="Arial"/>
          <w:sz w:val="22"/>
          <w:szCs w:val="22"/>
          <w:lang w:val="en-US"/>
        </w:rPr>
        <w:t xml:space="preserve"> (Fig. 7).</w:t>
      </w:r>
    </w:p>
    <w:p w14:paraId="431DF455" w14:textId="77777777" w:rsidR="00D35171" w:rsidRPr="00D35171" w:rsidRDefault="00D35171" w:rsidP="000F0594">
      <w:pPr>
        <w:rPr>
          <w:rFonts w:cs="Arial"/>
          <w:sz w:val="22"/>
          <w:szCs w:val="22"/>
          <w:lang w:val="en-US"/>
        </w:rPr>
      </w:pPr>
    </w:p>
    <w:p w14:paraId="39228A85" w14:textId="77777777" w:rsidR="00D35171" w:rsidRPr="00D35171" w:rsidRDefault="00D35171" w:rsidP="000F0594">
      <w:pPr>
        <w:rPr>
          <w:rFonts w:cs="Arial"/>
          <w:sz w:val="22"/>
          <w:szCs w:val="22"/>
          <w:lang w:val="en-US"/>
        </w:rPr>
      </w:pPr>
    </w:p>
    <w:p w14:paraId="44649618" w14:textId="77777777" w:rsidR="00D35171" w:rsidRPr="00D35171" w:rsidRDefault="00D35171" w:rsidP="000F0594">
      <w:pPr>
        <w:rPr>
          <w:rFonts w:cs="Arial"/>
          <w:sz w:val="22"/>
          <w:szCs w:val="22"/>
          <w:lang w:val="en-US"/>
        </w:rPr>
      </w:pPr>
    </w:p>
    <w:p w14:paraId="7EF4AC9C" w14:textId="749E9EDA" w:rsidR="00D35171" w:rsidRPr="00CE5D85" w:rsidRDefault="00E17F83" w:rsidP="006F2E12">
      <w:pPr>
        <w:rPr>
          <w:rFonts w:cs="Arial"/>
          <w:b/>
          <w:bCs/>
          <w:sz w:val="28"/>
          <w:szCs w:val="28"/>
          <w:lang w:val="en-US"/>
        </w:rPr>
      </w:pPr>
      <w:r w:rsidRPr="00CE5D85">
        <w:rPr>
          <w:rFonts w:cs="Arial"/>
          <w:b/>
          <w:bCs/>
          <w:sz w:val="28"/>
          <w:szCs w:val="28"/>
          <w:lang w:val="en-US"/>
        </w:rPr>
        <w:t>Discussion</w:t>
      </w:r>
    </w:p>
    <w:p w14:paraId="7FEDAF73" w14:textId="77777777" w:rsidR="00D35171" w:rsidRPr="00CE5D85" w:rsidRDefault="00D35171" w:rsidP="006F2E12">
      <w:pPr>
        <w:rPr>
          <w:rFonts w:cs="Arial"/>
          <w:b/>
          <w:bCs/>
          <w:sz w:val="22"/>
          <w:szCs w:val="22"/>
          <w:lang w:val="en-US"/>
        </w:rPr>
      </w:pPr>
    </w:p>
    <w:p w14:paraId="24B2ED76" w14:textId="2FC44C08" w:rsidR="00D35171" w:rsidRPr="00D35171" w:rsidRDefault="00D35171" w:rsidP="00D35171">
      <w:pPr>
        <w:rPr>
          <w:rFonts w:cs="Arial"/>
          <w:b/>
          <w:bCs/>
          <w:sz w:val="22"/>
          <w:szCs w:val="22"/>
          <w:lang w:val="en-US"/>
        </w:rPr>
      </w:pPr>
      <w:r w:rsidRPr="00D35171">
        <w:rPr>
          <w:rFonts w:cs="Arial"/>
          <w:b/>
          <w:bCs/>
          <w:sz w:val="22"/>
          <w:szCs w:val="22"/>
          <w:lang w:val="en-US"/>
        </w:rPr>
        <w:t>Diagnostic Approach for Unilateral IOH</w:t>
      </w:r>
    </w:p>
    <w:p w14:paraId="7F4C877A" w14:textId="77777777" w:rsidR="00D35171" w:rsidRPr="00D35171" w:rsidRDefault="00D35171" w:rsidP="00D35171">
      <w:pPr>
        <w:rPr>
          <w:rFonts w:cs="Arial"/>
          <w:sz w:val="22"/>
          <w:szCs w:val="22"/>
          <w:lang w:val="en-US"/>
        </w:rPr>
      </w:pPr>
      <w:r w:rsidRPr="00D35171">
        <w:rPr>
          <w:rFonts w:cs="Arial"/>
          <w:sz w:val="22"/>
          <w:szCs w:val="22"/>
          <w:lang w:val="en-US"/>
        </w:rPr>
        <w:t>The etiological investigation of unilateral intraocular hypertension (IOH) requires a structured approach to track clues and proceed by elimination if necessary. Therefore, in addition to great tenacity, a broad knowledge of glaucoma is essential.</w:t>
      </w:r>
    </w:p>
    <w:p w14:paraId="35F65BB1" w14:textId="77777777" w:rsidR="00D35171" w:rsidRPr="00D35171" w:rsidRDefault="00D35171" w:rsidP="00D35171">
      <w:pPr>
        <w:rPr>
          <w:rFonts w:cs="Arial"/>
          <w:sz w:val="22"/>
          <w:szCs w:val="22"/>
          <w:lang w:val="en-US"/>
        </w:rPr>
      </w:pPr>
      <w:r w:rsidRPr="00D35171">
        <w:rPr>
          <w:rFonts w:cs="Arial"/>
          <w:sz w:val="22"/>
          <w:szCs w:val="22"/>
          <w:lang w:val="en-US"/>
        </w:rPr>
        <w:t>A particularly careful and comparative examination can reveal even very subtle signs.</w:t>
      </w:r>
    </w:p>
    <w:p w14:paraId="47285F41" w14:textId="77777777" w:rsidR="00D35171" w:rsidRPr="00D35171" w:rsidRDefault="00D35171" w:rsidP="00D35171">
      <w:pPr>
        <w:rPr>
          <w:rFonts w:cs="Arial"/>
          <w:sz w:val="22"/>
          <w:szCs w:val="22"/>
          <w:lang w:val="en-US"/>
        </w:rPr>
      </w:pPr>
      <w:r w:rsidRPr="00D35171">
        <w:rPr>
          <w:rFonts w:cs="Arial"/>
          <w:sz w:val="22"/>
          <w:szCs w:val="22"/>
          <w:lang w:val="en-US"/>
        </w:rPr>
        <w:t>This investigation can be structured in three successive steps:</w:t>
      </w:r>
    </w:p>
    <w:p w14:paraId="72DB252A" w14:textId="7F4FDE4F" w:rsidR="00D35171" w:rsidRPr="00D35171" w:rsidRDefault="00D35171" w:rsidP="00D35171">
      <w:pPr>
        <w:numPr>
          <w:ilvl w:val="0"/>
          <w:numId w:val="12"/>
        </w:numPr>
        <w:rPr>
          <w:rFonts w:cs="Arial"/>
          <w:sz w:val="22"/>
          <w:szCs w:val="22"/>
          <w:lang w:val="en-US"/>
        </w:rPr>
      </w:pPr>
      <w:r w:rsidRPr="00D35171">
        <w:rPr>
          <w:rFonts w:cs="Arial"/>
          <w:sz w:val="22"/>
          <w:szCs w:val="22"/>
          <w:lang w:val="en-US"/>
        </w:rPr>
        <w:t xml:space="preserve">Patient History and External Examination: Start with </w:t>
      </w:r>
      <w:r w:rsidR="00574217" w:rsidRPr="00574217">
        <w:rPr>
          <w:rFonts w:cs="Arial"/>
          <w:sz w:val="22"/>
          <w:szCs w:val="22"/>
          <w:lang w:val="en-US"/>
        </w:rPr>
        <w:t>a meticulous anamnesis (trauma, surgery, steroid use) and a comparative external examination (proptosis, conjunctival status) to assess overall health</w:t>
      </w:r>
      <w:r w:rsidR="00574217">
        <w:rPr>
          <w:rFonts w:cs="Arial"/>
          <w:sz w:val="22"/>
          <w:szCs w:val="22"/>
          <w:lang w:val="en-US"/>
        </w:rPr>
        <w:t>.</w:t>
      </w:r>
    </w:p>
    <w:p w14:paraId="5C2DB351" w14:textId="61DDE490" w:rsidR="00D35171" w:rsidRPr="00574217" w:rsidRDefault="00D35171" w:rsidP="00574217">
      <w:pPr>
        <w:numPr>
          <w:ilvl w:val="0"/>
          <w:numId w:val="12"/>
        </w:numPr>
        <w:rPr>
          <w:rFonts w:cs="Arial"/>
          <w:sz w:val="22"/>
          <w:szCs w:val="22"/>
          <w:lang w:val="en-US"/>
        </w:rPr>
      </w:pPr>
      <w:r w:rsidRPr="00D35171">
        <w:rPr>
          <w:rFonts w:cs="Arial"/>
          <w:sz w:val="22"/>
          <w:szCs w:val="22"/>
          <w:lang w:val="en-US"/>
        </w:rPr>
        <w:t>Thorough Clinical Examination: This involves a high-magnification slit-lamp examination, gonioscopy</w:t>
      </w:r>
      <w:r w:rsidRPr="00574217">
        <w:rPr>
          <w:rFonts w:cs="Arial"/>
          <w:sz w:val="22"/>
          <w:szCs w:val="22"/>
          <w:lang w:val="en-US"/>
        </w:rPr>
        <w:t>, and examination before and after pupil dilation. In many cases, these clinical findings alone are sufficient to establish a diagnosis.</w:t>
      </w:r>
    </w:p>
    <w:p w14:paraId="60451C64" w14:textId="77777777" w:rsidR="00D35171" w:rsidRPr="00D35171" w:rsidRDefault="00D35171" w:rsidP="00D35171">
      <w:pPr>
        <w:numPr>
          <w:ilvl w:val="0"/>
          <w:numId w:val="12"/>
        </w:numPr>
        <w:rPr>
          <w:rFonts w:cs="Arial"/>
          <w:sz w:val="22"/>
          <w:szCs w:val="22"/>
          <w:lang w:val="en-US"/>
        </w:rPr>
      </w:pPr>
      <w:r w:rsidRPr="00D35171">
        <w:rPr>
          <w:rFonts w:cs="Arial"/>
          <w:sz w:val="22"/>
          <w:szCs w:val="22"/>
          <w:lang w:val="en-US"/>
        </w:rPr>
        <w:t>Complementary Examinations: When the clinical picture is not conclusive, additional tests may be necessary. These include cerebral-orbital angio-MRI to search for an episcleral venous pressure cause, specular microscopy for endothelial assessment, and in vivo confocal microscopy (IVCM) for high-magnification imaging of corneal layers.</w:t>
      </w:r>
    </w:p>
    <w:p w14:paraId="565F0CBB" w14:textId="77777777" w:rsidR="00D35171" w:rsidRPr="00D35171" w:rsidRDefault="00D35171" w:rsidP="00D35171">
      <w:pPr>
        <w:rPr>
          <w:rFonts w:cs="Arial"/>
          <w:sz w:val="22"/>
          <w:szCs w:val="22"/>
          <w:lang w:val="en-US"/>
        </w:rPr>
      </w:pPr>
      <w:r w:rsidRPr="00D35171">
        <w:rPr>
          <w:rFonts w:cs="Arial"/>
          <w:sz w:val="22"/>
          <w:szCs w:val="22"/>
          <w:lang w:val="en-US"/>
        </w:rPr>
        <w:t>This methodical approach can lead to the diagnosis of rare conditions but also helps identify the subtle signs of a common pathology, as was the case with our patient. Indeed, PEX is the most frequent cause of secondary glaucoma in Europe.</w:t>
      </w:r>
    </w:p>
    <w:p w14:paraId="6EE6A32C" w14:textId="77777777" w:rsidR="00D35171" w:rsidRPr="00D35171" w:rsidRDefault="00D35171" w:rsidP="006F2E12">
      <w:pPr>
        <w:rPr>
          <w:rFonts w:cs="Arial"/>
          <w:b/>
          <w:bCs/>
          <w:sz w:val="22"/>
          <w:szCs w:val="22"/>
          <w:lang w:val="en-US"/>
        </w:rPr>
      </w:pPr>
    </w:p>
    <w:p w14:paraId="019AE523" w14:textId="77777777" w:rsidR="00D35171" w:rsidRPr="00CE5D85" w:rsidRDefault="00D35171" w:rsidP="000F0594">
      <w:pPr>
        <w:rPr>
          <w:rFonts w:cs="Arial"/>
          <w:sz w:val="22"/>
          <w:szCs w:val="22"/>
          <w:lang w:val="en-US"/>
        </w:rPr>
      </w:pPr>
    </w:p>
    <w:p w14:paraId="340ED43A" w14:textId="77777777" w:rsidR="00D35171" w:rsidRPr="00D35171" w:rsidRDefault="00D35171" w:rsidP="00D35171">
      <w:pPr>
        <w:rPr>
          <w:rFonts w:cs="Arial"/>
          <w:b/>
          <w:bCs/>
          <w:sz w:val="22"/>
          <w:szCs w:val="22"/>
          <w:lang w:val="en-US"/>
        </w:rPr>
      </w:pPr>
      <w:proofErr w:type="spellStart"/>
      <w:r w:rsidRPr="00D35171">
        <w:rPr>
          <w:rFonts w:cs="Arial"/>
          <w:b/>
          <w:bCs/>
          <w:sz w:val="22"/>
          <w:szCs w:val="22"/>
          <w:lang w:val="en-US"/>
        </w:rPr>
        <w:t>Pseudoexfoliation</w:t>
      </w:r>
      <w:proofErr w:type="spellEnd"/>
      <w:r w:rsidRPr="00D35171">
        <w:rPr>
          <w:rFonts w:cs="Arial"/>
          <w:b/>
          <w:bCs/>
          <w:sz w:val="22"/>
          <w:szCs w:val="22"/>
          <w:lang w:val="en-US"/>
        </w:rPr>
        <w:t xml:space="preserve"> Syndrome (PEX)</w:t>
      </w:r>
    </w:p>
    <w:p w14:paraId="37F07FD9" w14:textId="04410DBB" w:rsidR="00D35171" w:rsidRPr="00D35171" w:rsidRDefault="00D35171" w:rsidP="00D35171">
      <w:pPr>
        <w:rPr>
          <w:rFonts w:cs="Arial"/>
          <w:sz w:val="22"/>
          <w:szCs w:val="22"/>
          <w:lang w:val="en-US"/>
        </w:rPr>
      </w:pPr>
      <w:r w:rsidRPr="00D35171">
        <w:rPr>
          <w:rFonts w:cs="Arial"/>
          <w:sz w:val="22"/>
          <w:szCs w:val="22"/>
          <w:lang w:val="en-US"/>
        </w:rPr>
        <w:t>PEX is characterized by severe and highly asymmetrical intraocular hypertension.</w:t>
      </w:r>
    </w:p>
    <w:p w14:paraId="20658C50" w14:textId="550E5DD5" w:rsidR="00D35171" w:rsidRPr="00D35171" w:rsidRDefault="00D35171" w:rsidP="00D35171">
      <w:pPr>
        <w:rPr>
          <w:rFonts w:cs="Arial"/>
          <w:sz w:val="22"/>
          <w:szCs w:val="22"/>
          <w:lang w:val="en-US"/>
        </w:rPr>
      </w:pPr>
      <w:r w:rsidRPr="00D35171">
        <w:rPr>
          <w:rFonts w:cs="Arial"/>
          <w:sz w:val="22"/>
          <w:szCs w:val="22"/>
          <w:lang w:val="en-US"/>
        </w:rPr>
        <w:t xml:space="preserve">The exfoliative material can lead to </w:t>
      </w:r>
      <w:r w:rsidRPr="00D35171">
        <w:rPr>
          <w:rFonts w:cs="Arial"/>
          <w:b/>
          <w:bCs/>
          <w:sz w:val="22"/>
          <w:szCs w:val="22"/>
          <w:lang w:val="en-US"/>
        </w:rPr>
        <w:t xml:space="preserve">corneal </w:t>
      </w:r>
      <w:proofErr w:type="spellStart"/>
      <w:r w:rsidRPr="00D35171">
        <w:rPr>
          <w:rFonts w:cs="Arial"/>
          <w:b/>
          <w:bCs/>
          <w:sz w:val="22"/>
          <w:szCs w:val="22"/>
          <w:lang w:val="en-US"/>
        </w:rPr>
        <w:t>endotheliopathy</w:t>
      </w:r>
      <w:proofErr w:type="spellEnd"/>
      <w:r w:rsidRPr="00D35171">
        <w:rPr>
          <w:rFonts w:cs="Arial"/>
          <w:sz w:val="22"/>
          <w:szCs w:val="22"/>
          <w:lang w:val="en-US"/>
        </w:rPr>
        <w:t xml:space="preserve"> due to the progressive accumulation of deposits on the posterior surface of the cornea. These deposits may appear as fine, scattered pigments on the corneal endothelium and can sometimes cause endothelial decompensation. Confocal microscopy reveals these deposits as hyperreflective white dots on the posterior surface of the endothelium</w:t>
      </w:r>
      <w:r w:rsidR="006331FE">
        <w:rPr>
          <w:rFonts w:cs="Arial"/>
          <w:sz w:val="22"/>
          <w:szCs w:val="22"/>
          <w:lang w:val="en-US"/>
        </w:rPr>
        <w:fldChar w:fldCharType="begin"/>
      </w:r>
      <w:r w:rsidR="006331FE">
        <w:rPr>
          <w:rFonts w:cs="Arial"/>
          <w:sz w:val="22"/>
          <w:szCs w:val="22"/>
          <w:lang w:val="en-US"/>
        </w:rPr>
        <w:instrText xml:space="preserve"> ADDIN ZOTERO_ITEM CSL_CITATION {"citationID":"mJfOKKDi","properties":{"formattedCitation":"\\super 2\\uc0\\u8211{}5\\nosupersub{}","plainCitation":"2–5","noteIndex":0},"citationItems":[{"id":1785,"uris":["http://zotero.org/users/7569632/items/UC5CBVM7"],"itemData":{"id":1785,"type":"article-journal","abstract":"Purpose\nTo visualize structural alterations of the cornea, iris, and lens in patients with exfoliation syndrome (XFS) using a noncontact in vivo laser scanning confocal microscope and to correlate these with the clinical features.\n\nMethods\nThe cornea, iris, and lens of 30 eyes with XFS were imaged using the Rostock Cornea Module of Heidelberg Retina Tomograph II (50× noncontact Nikon lens, an estimated 1 to 2 μm transverse resolution, 500×500-μm field of view). Serial transverse section images, as well as anterior segment photographs, were taken and analyzed.\n\nResults\nThe corneal stroma and endothelium of 19 eyes (63%) showed different amounts and sizes of scattered small hyperreflective deposits. The irides revealed hyperreflective deposits on the anterior outer surfaces and/or pupillary margin corresponding to exfoliation material (XFM) and/or pigment granules. The anterior lens capsule showed varying degrees of peripupillary fibrillar hyperreflective deposits, hyperreflective areas with apparent epithelial cells centrally, and uniform epithelial cells in the clear intermediate zone. On the anterior capsule in 4 pseudophakic eyes, XFM appeared as hyperreflective round deposits. Hyperreflective floating deposits were seen in the aqueous humor in the pupillary region of the posterior chamber of 6 eyes (20%).\n\nConclusions\nNoncontact in vivo confocal microscopy permits visualization of XFM in the cornea, iris, and lens. This new technique may improve early detection of anterior segment abnormalities by providing information about subclinical cellular pathology, such as early pregranular XFS.","container-title":"Transactions of the American Ophthalmological Society","ISSN":"0065-9533","journalAbbreviation":"Trans Am Ophthalmol Soc","note":"PMID: 19277220\nPMCID: PMC2646452","page":"46-55","source":"PubMed Central","title":"Noncontact In Vivo Confocal Laser Scanning Microscopy of Exfoliation Syndrome","volume":"106","author":[{"family":"Sbeity","given":"Zaher"},{"family":"Palmiero","given":"Pat-Michael"},{"family":"Tello","given":"Celso"},{"family":"Liebmann","given":"Jeffrey M."},{"family":"Ritch","given":"Robert"}],"issued":{"date-parts":[["2008",12]]}}},{"id":1780,"uris":["http://zotero.org/users/7569632/items/BCE7NMEB"],"itemData":{"id":1780,"type":"article-journal","abstract":"Abstract. Purpose: This study aimed to evaluate the efficacy of non-contact confocal laser microscopy in detecting structural alterations of the cornea, iris and lens in fellow eyes of patients with clinically unilateral exfoliation syndrome (XFS) and XFS suspects. Methods: In a prospective observational case series, eyes of 12 patients with clinically unilateral XFS, six XFS suspects and six age-matched controls were divided into four groups. Group A included eyes with clinically visible exfoliation material (XFM) on the pupillary border or anterior lens capsule (n = 12); group B included fellow eyes of clinically unilateral XFS patients without visible XFM (n = 12); group C comprised eyes in XFS suspects with signs of pigment dispersion without visible XFM (n = 10), and group D consisted of control eyes with no evidence of XFM or pigment dispersion (n = 12). The cornea, iris and lens were imaged using a non-contact lens prototype for the Rostock Cornea Module (HRT II). Images were analysed by two observers masked to the clinical findings. Results: Visible XFM (group A) on the lens capsule was characterized by hyperreflectivity in the granular and central disc areas and hyporeflective spaces in the intermediate zones. Similar hyperreflectivity was noted in four of 12 and one of 10 eyes in groups B and C, respectively, but in none in group D. Corneal endothelial hyperreflective deposits were found in eight of 12, four of 12 and one of 10 eyes in groups A, B and C, respectively, and no eyes in group D. Conclusions: This technology permits visualization of XFM and/or XFM-related changes in the cornea and lens in the unaffected eyes of patients with clinically unilateral XFS. It may allow early detection of XFS and impact glaucoma screening and clinical surveillance decisions.","container-title":"Acta Ophthalmologica","DOI":"10.1111/j.1755-3768.2009.01678.x","ISSN":"1755-3768","issue":"3","language":"en","note":"_eprint: https://onlinelibrary.wiley.com/doi/pdf/10.1111/j.1755-3768.2009.01678.x","page":"241-247","source":"Wiley Online Library","title":"Non-contact in vivo confocal scanning laser microscopy in exfoliation syndrome, exfoliation syndrome suspect and normal eyes","volume":"89","author":[{"family":"Sbeity","given":"Zaher"},{"family":"Palmiero","given":"Pat-Michael"},{"family":"Tello","given":"Celso"},{"family":"Liebmann","given":"Jeffrey M."},{"family":"Ritch","given":"Robert"}],"issued":{"date-parts":[["2011"]]}},"label":"page"},{"id":1788,"uris":["http://zotero.org/users/7569632/items/AQF8XKHT"],"itemData":{"id":1788,"type":"article-journal","abstract":"Pseudoexfoliation (PEX) syndrome is a common ocular disease that also affects the cornea. A case of clinical PEX syndrome, studied by in vivo corneal confocal microscopy is reported. The morphological analysis of the confocal images demonstrated hyper-reflective deposits and several dendritic cells in the basal epithelial layer. A fibrillar subepithelial structure was also found. The endothelial layer showed cell anomalies (polymegathism and pleomorphism) and hyper-reflective small endothelial deposits. Confocal microscopy is an in vivo imaging method that may provide new information on corneal alterations in PEX, and detect early corneal features.","container-title":"Clinical &amp; Experimental Ophthalmology","DOI":"10.1111/j.1442-9071.2007.01535.x","ISSN":"1442-9071","issue":"6","language":"en","note":"_eprint: https://onlinelibrary.wiley.com/doi/pdf/10.1111/j.1442-9071.2007.01535.x","page":"582-585","source":"Wiley Online Library","title":"Pseudoexfoliation syndrome: in vivo confocal microscopy analysis","title-short":"Pseudoexfoliation syndrome","volume":"35","author":[{"family":"Martone","given":"Gianluca"},{"family":"Casprini","given":"Fabrizio"},{"family":"Traversi","given":"Claudio"},{"family":"Lepri","given":"Francesca"},{"family":"Pichierri","given":"Patrizia"},{"family":"Caporossi","given":"Aldo"}],"issued":{"date-parts":[["2007"]]}},"label":"page"},{"id":1805,"uris":["http://zotero.org/users/7569632/items/E2EJIG2E"],"itemData":{"id":1805,"type":"article-journal","abstract":"Purpose: To quantify the morphological alterations in corneal nerve fibers and cells in patients with pseudoexfoliation syndrome (PEX) and their relationship with the presence of hyperreflective endothelial deposits observed using in vivo confocal microscopy.\nMethods: One eye each of 37 patients with PEX and 20 age-matched healthy control subjects was evaluated by in vivo corneal confocal microscopy. Patients with PEX were further classified into two groups: those with and without hyperreflective endothelial deposits. We evaluated the densities of basal epithelial cells, anterior and posterior stromal keratocytes, and endothelial cells and structure of sub-basal nerve fibers.\nResults: The mean anterior and posterior stromal keratocyte and endothelial cell densities and corneal sub-basal nerve plexus variables were significantly lower in patients with PEX compared with those in healthy control subjects. The mean basal epithelial cell density did not significantly differ.\nConclusion: Eyes with PEX presented decreased corneal sub-basal nerve plexus variables and cell densities in all corneas, except for the mean basal epithelial cell density. Further, a trend of lower corneal sub-basal nerve plexus measurements in patients with hyperreflective endothelial deposits compared with those without endothelial deposits was observed.","container-title":"Arquivos Brasileiros de Oftalmologia","DOI":"10.5935/0004-2749.20150092","ISSN":"0004-2749","issue":"6","language":"en","source":"DOI.org (Crossref)","title":"Characteristics of the cornea in patients with pseudoexfoliation syndrome","URL":"http://www.gnresearch.org/doi/10.5935/0004-2749.20150092","volume":"78","author":[{"family":"Oltulu","given":"Refik"},{"family":"Satirtav","given":"Gunhal"},{"family":"Kayitmazbatir","given":"Emine Tinkir"},{"family":"Bitirgen","given":"Gulfi Dan"},{"family":"Ozkagnici","given":"Ahmet"},{"family":"Karaibrahimoglu","given":"Adnan"}],"accessed":{"date-parts":[["2025",9,26]]},"issued":{"date-parts":[["2015"]]}},"label":"page"}],"schema":"https://github.com/citation-style-language/schema/raw/master/csl-citation.json"} </w:instrText>
      </w:r>
      <w:r w:rsidR="006331FE">
        <w:rPr>
          <w:rFonts w:cs="Arial"/>
          <w:sz w:val="22"/>
          <w:szCs w:val="22"/>
          <w:lang w:val="en-US"/>
        </w:rPr>
        <w:fldChar w:fldCharType="separate"/>
      </w:r>
      <w:r w:rsidR="006331FE" w:rsidRPr="006331FE">
        <w:rPr>
          <w:rFonts w:cs="Arial"/>
          <w:kern w:val="0"/>
          <w:sz w:val="22"/>
          <w:vertAlign w:val="superscript"/>
          <w:lang w:val="en-US"/>
        </w:rPr>
        <w:t>2–5</w:t>
      </w:r>
      <w:r w:rsidR="006331FE">
        <w:rPr>
          <w:rFonts w:cs="Arial"/>
          <w:sz w:val="22"/>
          <w:szCs w:val="22"/>
          <w:lang w:val="en-US"/>
        </w:rPr>
        <w:fldChar w:fldCharType="end"/>
      </w:r>
      <w:r w:rsidR="006331FE">
        <w:rPr>
          <w:rFonts w:cs="Arial"/>
          <w:sz w:val="22"/>
          <w:szCs w:val="22"/>
          <w:lang w:val="en-US"/>
        </w:rPr>
        <w:t>.</w:t>
      </w:r>
    </w:p>
    <w:p w14:paraId="6D19FF24" w14:textId="77777777" w:rsidR="00A02AA5" w:rsidRPr="00CE5D85" w:rsidRDefault="00A02AA5" w:rsidP="00A02AA5">
      <w:pPr>
        <w:tabs>
          <w:tab w:val="left" w:pos="3349"/>
        </w:tabs>
        <w:rPr>
          <w:rFonts w:cs="Arial"/>
          <w:sz w:val="22"/>
          <w:szCs w:val="22"/>
          <w:lang w:val="en-US"/>
        </w:rPr>
      </w:pPr>
    </w:p>
    <w:p w14:paraId="79CB215C" w14:textId="77777777" w:rsidR="00D35171" w:rsidRPr="00D35171" w:rsidRDefault="00D35171" w:rsidP="00D35171">
      <w:pPr>
        <w:tabs>
          <w:tab w:val="left" w:pos="3349"/>
        </w:tabs>
        <w:rPr>
          <w:rFonts w:cs="Arial"/>
          <w:b/>
          <w:bCs/>
          <w:sz w:val="22"/>
          <w:szCs w:val="22"/>
          <w:lang w:val="en-US"/>
        </w:rPr>
      </w:pPr>
      <w:r w:rsidRPr="00D35171">
        <w:rPr>
          <w:rFonts w:cs="Arial"/>
          <w:b/>
          <w:bCs/>
          <w:sz w:val="22"/>
          <w:szCs w:val="22"/>
          <w:lang w:val="en-US"/>
        </w:rPr>
        <w:t>Filtering Surgery: An Option for Isolated IOH</w:t>
      </w:r>
    </w:p>
    <w:p w14:paraId="00CBC8E0" w14:textId="77777777" w:rsidR="00D35171" w:rsidRPr="00D35171" w:rsidRDefault="00D35171" w:rsidP="00D35171">
      <w:pPr>
        <w:tabs>
          <w:tab w:val="left" w:pos="3349"/>
        </w:tabs>
        <w:rPr>
          <w:rFonts w:cs="Arial"/>
          <w:sz w:val="22"/>
          <w:szCs w:val="22"/>
          <w:lang w:val="en-US"/>
        </w:rPr>
      </w:pPr>
      <w:r w:rsidRPr="00D35171">
        <w:rPr>
          <w:rFonts w:cs="Arial"/>
          <w:sz w:val="22"/>
          <w:szCs w:val="22"/>
          <w:lang w:val="en-US"/>
        </w:rPr>
        <w:t>Filtering surgery is rarely proposed for isolated IOH. However, it was essential in our patient's case due to several factors:</w:t>
      </w:r>
    </w:p>
    <w:p w14:paraId="24E5F5FE" w14:textId="0B430822" w:rsidR="00D35171" w:rsidRPr="00D35171" w:rsidRDefault="00D35171" w:rsidP="00D35171">
      <w:pPr>
        <w:numPr>
          <w:ilvl w:val="0"/>
          <w:numId w:val="13"/>
        </w:numPr>
        <w:tabs>
          <w:tab w:val="left" w:pos="3349"/>
        </w:tabs>
        <w:rPr>
          <w:rFonts w:cs="Arial"/>
          <w:sz w:val="22"/>
          <w:szCs w:val="22"/>
          <w:lang w:val="en-US"/>
        </w:rPr>
      </w:pPr>
      <w:r w:rsidRPr="00D35171">
        <w:rPr>
          <w:rFonts w:cs="Arial"/>
          <w:sz w:val="22"/>
          <w:szCs w:val="22"/>
          <w:lang w:val="en-US"/>
        </w:rPr>
        <w:lastRenderedPageBreak/>
        <w:t>The persistent IOH with an IOP approaching 30 mmHg.</w:t>
      </w:r>
      <w:r w:rsidR="00EA1692">
        <w:rPr>
          <w:rFonts w:cs="Arial"/>
          <w:sz w:val="22"/>
          <w:szCs w:val="22"/>
          <w:lang w:val="en-US"/>
        </w:rPr>
        <w:t xml:space="preserve"> </w:t>
      </w:r>
      <w:r w:rsidR="00EA1692" w:rsidRPr="00EA1692">
        <w:rPr>
          <w:rFonts w:cs="Arial"/>
          <w:sz w:val="22"/>
          <w:szCs w:val="22"/>
          <w:lang w:val="en-US"/>
        </w:rPr>
        <w:t>This level of IOH would likely render SLT laser treatment insufficient</w:t>
      </w:r>
      <w:r w:rsidR="00EA1692">
        <w:rPr>
          <w:rFonts w:cs="Arial"/>
          <w:sz w:val="22"/>
          <w:szCs w:val="22"/>
          <w:lang w:val="en-US"/>
        </w:rPr>
        <w:t>.</w:t>
      </w:r>
    </w:p>
    <w:p w14:paraId="7ADD8DDC" w14:textId="259BC211" w:rsidR="00827A2B" w:rsidRPr="00EA1692" w:rsidRDefault="00D35171" w:rsidP="00EA1692">
      <w:pPr>
        <w:numPr>
          <w:ilvl w:val="0"/>
          <w:numId w:val="13"/>
        </w:numPr>
        <w:tabs>
          <w:tab w:val="left" w:pos="3349"/>
        </w:tabs>
        <w:rPr>
          <w:rFonts w:cs="Arial"/>
          <w:sz w:val="22"/>
          <w:szCs w:val="22"/>
          <w:lang w:val="en-US"/>
        </w:rPr>
      </w:pPr>
      <w:r w:rsidRPr="00876E5D">
        <w:rPr>
          <w:rFonts w:cs="Arial"/>
          <w:sz w:val="22"/>
          <w:szCs w:val="22"/>
          <w:lang w:val="en-US"/>
        </w:rPr>
        <w:t xml:space="preserve">The inflammatory context, </w:t>
      </w:r>
      <w:r w:rsidR="00876E5D" w:rsidRPr="00D35171">
        <w:rPr>
          <w:rFonts w:cs="Arial"/>
          <w:sz w:val="22"/>
          <w:szCs w:val="22"/>
          <w:lang w:val="en-US"/>
        </w:rPr>
        <w:t>which limited therapeutic options</w:t>
      </w:r>
      <w:r w:rsidR="00876E5D">
        <w:rPr>
          <w:rFonts w:cs="Arial"/>
          <w:sz w:val="22"/>
          <w:szCs w:val="22"/>
          <w:lang w:val="en-US"/>
        </w:rPr>
        <w:t>.</w:t>
      </w:r>
      <w:r w:rsidR="00EA1692">
        <w:rPr>
          <w:rFonts w:cs="Arial"/>
          <w:sz w:val="22"/>
          <w:szCs w:val="22"/>
          <w:lang w:val="en-US"/>
        </w:rPr>
        <w:t xml:space="preserve"> </w:t>
      </w:r>
      <w:r w:rsidR="00827A2B" w:rsidRPr="00EA1692">
        <w:rPr>
          <w:rFonts w:cs="Arial"/>
          <w:sz w:val="22"/>
          <w:szCs w:val="22"/>
          <w:lang w:val="en-US"/>
        </w:rPr>
        <w:t xml:space="preserve">Indeed, it is highly probable that </w:t>
      </w:r>
      <w:r w:rsidR="00EA1692" w:rsidRPr="00EA1692">
        <w:rPr>
          <w:rFonts w:cs="Arial"/>
          <w:sz w:val="22"/>
          <w:szCs w:val="22"/>
          <w:lang w:val="en-US"/>
        </w:rPr>
        <w:t xml:space="preserve">the blood-aqueous barrier breakdown </w:t>
      </w:r>
      <w:proofErr w:type="spellStart"/>
      <w:r w:rsidR="00EA1692" w:rsidRPr="00876E5D">
        <w:rPr>
          <w:rFonts w:cs="Arial"/>
          <w:sz w:val="22"/>
          <w:szCs w:val="22"/>
          <w:lang w:val="en-US"/>
        </w:rPr>
        <w:t>breakdown</w:t>
      </w:r>
      <w:proofErr w:type="spellEnd"/>
      <w:r w:rsidR="00EA1692" w:rsidRPr="00876E5D">
        <w:rPr>
          <w:rFonts w:cs="Arial"/>
          <w:sz w:val="22"/>
          <w:szCs w:val="22"/>
          <w:lang w:val="en-US"/>
        </w:rPr>
        <w:t xml:space="preserve"> in </w:t>
      </w:r>
      <w:proofErr w:type="spellStart"/>
      <w:r w:rsidR="00EA1692" w:rsidRPr="00876E5D">
        <w:rPr>
          <w:rFonts w:cs="Arial"/>
          <w:sz w:val="22"/>
          <w:szCs w:val="22"/>
          <w:lang w:val="en-US"/>
        </w:rPr>
        <w:t>pseudoexfoliation</w:t>
      </w:r>
      <w:proofErr w:type="spellEnd"/>
      <w:r w:rsidR="00EA1692" w:rsidRPr="00876E5D">
        <w:rPr>
          <w:rFonts w:cs="Arial"/>
          <w:sz w:val="22"/>
          <w:szCs w:val="22"/>
          <w:lang w:val="en-US"/>
        </w:rPr>
        <w:t xml:space="preserve"> syndrome</w:t>
      </w:r>
      <w:r w:rsidR="00EA1692">
        <w:rPr>
          <w:rFonts w:cs="Arial"/>
          <w:b/>
          <w:bCs/>
          <w:sz w:val="22"/>
          <w:szCs w:val="22"/>
          <w:lang w:val="en-US"/>
        </w:rPr>
        <w:fldChar w:fldCharType="begin"/>
      </w:r>
      <w:r w:rsidR="00EA1692">
        <w:rPr>
          <w:rFonts w:cs="Arial"/>
          <w:b/>
          <w:bCs/>
          <w:sz w:val="22"/>
          <w:szCs w:val="22"/>
          <w:lang w:val="en-US"/>
        </w:rPr>
        <w:instrText xml:space="preserve"> ADDIN ZOTERO_ITEM CSL_CITATION {"citationID":"pqb4d1Mo","properties":{"formattedCitation":"\\super 6\\uc0\\u8211{}8\\nosupersub{}","plainCitation":"6–8","noteIndex":0},"citationItems":[{"id":1797,"uris":["http://zotero.org/users/7569632/items/NE4WV263"],"itemData":{"id":1797,"type":"article-journal","container-title":"CrossRef Listing of Deleted DOIs","DOI":"10.1016/s0246-0343(17)77762-3","ISSN":"0849-6757","journalAbbreviation":"CrossRef Listing of Deleted DOIs","language":"fr","source":"DOI.org (Crossref)","title":"10.1016/s0246-0343(17)77762-3","URL":"http://www.crossref.org/deleted_DOI.html","accessed":{"date-parts":[["2025",9,25]]},"issued":{"date-parts":[["2000"]]}},"label":"page"},{"id":1791,"uris":["http://zotero.org/users/7569632/items/E8YN2TYH"],"itemData":{"id":1791,"type":"article-journal","abstract":"BACKGROUND: Impairment of the blood-aqueous barrier is a frequent finding in eyes with pseudoexfoliation syndrome (PEX).\nOBJECTIVE: To perform noninvasive quantification of aqueous flare using the laser flare-cell meter to analyze blood-aqueous barrier breakdown following phacoemulsification with intraocular lens implantation in eyes with and without PEX.\nMETHODS: After other conditions that might account for impairment of the blood-aqueous barrier were excluded, 11 eyes with PEX and 11 eyes with senile cataract without PEX were included in the study. Aqueous flare was quantitatively determined using a laser flare-cell meter preoperatively as well as 1, 3, and 5 days postoperatively. Phacoemulsification with posterior chamber intraocular lens implantation was performed by one surgeon.\nRESULTS: On the first postoperative day, flare values (calculated as mean+/-SD photon counts per millisecond) in eyes with PEX were higher (42.2+/-21.3) than in eyes without PEX (30.6+/-15.1) (P&gt;.05). On days 3 and 5, postoperative flare values decreased slowly in eyes with PEX (23.9+/-7.4 and 21.2+/-5.7 photon counts per millisecond, respectively) and were significantly higher than in eyes without PEX (14.8+/-5.4 and 10.5+/-1.4 photon counts per millisecond, respectively) (P&lt;.05).\nCONCLUSIONS: Breakdown of the blood-aqueous barrier is significantly more extensive in eyes with PEX and may be an important risk factor for early postoperative complications. The altered response to surgery should be considered in eyes with PEX.","container-title":"Archives of Ophthalmology (Chicago, Ill.: 1960)","DOI":"10.1001/archopht.117.6.733","ISSN":"0003-9950","issue":"6","journalAbbreviation":"Arch Ophthalmol","language":"eng","note":"PMID: 10369582","page":"733-735","source":"PubMed","title":"Quantification of aqueous flare after phacoemulsification with intraocular lens implantation in eyes with pseudoexfoliation syndrome","volume":"117","author":[{"family":"Schumacher","given":"S."},{"family":"Nguyen","given":"N. X."},{"family":"Küchle","given":"M."},{"family":"Naumann","given":"G. O."}],"issued":{"date-parts":[["1999",6]]}},"label":"page"},{"id":1793,"uris":["http://zotero.org/users/7569632/items/UVBVRBFK"],"itemData":{"id":1793,"type":"article-journal","container-title":"Investigative Ophthalmology &amp; Visual Science","ISSN":"1552-5783","issue":"2","journalAbbreviation":"Invest. Ophthalmol. Vis. Sci.","language":"en","note":"publisher: The Association for Research in Vision and Ophthalmology","page":"748-752","source":"iovs.arvojournals.org","title":"Protein quantification and electrophoresis in aqueous humor of pseudoexfoliation eyes.","volume":"35","author":[{"family":"Küchle","given":"M."},{"family":"Ho","given":"T. S."},{"family":"Nguyen","given":"N. X."},{"family":"Hannappel","given":"E."},{"family":"Naumann","given":"G. O."}],"issued":{"date-parts":[["1994",2,1]]}},"label":"page"}],"schema":"https://github.com/citation-style-language/schema/raw/master/csl-citation.json"} </w:instrText>
      </w:r>
      <w:r w:rsidR="00EA1692">
        <w:rPr>
          <w:rFonts w:cs="Arial"/>
          <w:b/>
          <w:bCs/>
          <w:sz w:val="22"/>
          <w:szCs w:val="22"/>
          <w:lang w:val="en-US"/>
        </w:rPr>
        <w:fldChar w:fldCharType="separate"/>
      </w:r>
      <w:r w:rsidR="00EA1692" w:rsidRPr="00876E5D">
        <w:rPr>
          <w:rFonts w:cs="Arial"/>
          <w:kern w:val="0"/>
          <w:sz w:val="22"/>
          <w:vertAlign w:val="superscript"/>
          <w:lang w:val="en-US"/>
        </w:rPr>
        <w:t>6–8</w:t>
      </w:r>
      <w:r w:rsidR="00EA1692">
        <w:rPr>
          <w:rFonts w:cs="Arial"/>
          <w:b/>
          <w:bCs/>
          <w:sz w:val="22"/>
          <w:szCs w:val="22"/>
          <w:lang w:val="en-US"/>
        </w:rPr>
        <w:fldChar w:fldCharType="end"/>
      </w:r>
      <w:r w:rsidR="00EA1692">
        <w:rPr>
          <w:rFonts w:cs="Arial"/>
          <w:b/>
          <w:bCs/>
          <w:sz w:val="22"/>
          <w:szCs w:val="22"/>
          <w:lang w:val="en-US"/>
        </w:rPr>
        <w:t xml:space="preserve"> </w:t>
      </w:r>
      <w:r w:rsidR="00827A2B" w:rsidRPr="00EA1692">
        <w:rPr>
          <w:rFonts w:cs="Arial"/>
          <w:sz w:val="22"/>
          <w:szCs w:val="22"/>
          <w:lang w:val="en-US"/>
        </w:rPr>
        <w:t>accounted for the poor tolerability of the eye drops, which manifested as initial uveitis</w:t>
      </w:r>
      <w:r w:rsidR="00EA1692">
        <w:rPr>
          <w:rFonts w:cs="Arial"/>
          <w:sz w:val="22"/>
          <w:szCs w:val="22"/>
          <w:lang w:val="en-US"/>
        </w:rPr>
        <w:t>.</w:t>
      </w:r>
    </w:p>
    <w:p w14:paraId="337AA0BF" w14:textId="77777777" w:rsidR="00D35171" w:rsidRPr="00D35171" w:rsidRDefault="00D35171" w:rsidP="00D35171">
      <w:pPr>
        <w:numPr>
          <w:ilvl w:val="0"/>
          <w:numId w:val="13"/>
        </w:numPr>
        <w:tabs>
          <w:tab w:val="left" w:pos="3349"/>
        </w:tabs>
        <w:rPr>
          <w:rFonts w:cs="Arial"/>
          <w:sz w:val="22"/>
          <w:szCs w:val="22"/>
          <w:lang w:val="en-US"/>
        </w:rPr>
      </w:pPr>
      <w:r w:rsidRPr="00D35171">
        <w:rPr>
          <w:rFonts w:cs="Arial"/>
          <w:sz w:val="22"/>
          <w:szCs w:val="22"/>
          <w:lang w:val="en-US"/>
        </w:rPr>
        <w:t>The patient’s relatively young age.</w:t>
      </w:r>
    </w:p>
    <w:p w14:paraId="027583EA" w14:textId="604BD1C2" w:rsidR="00D35171" w:rsidRPr="00D35171" w:rsidRDefault="00D35171" w:rsidP="00D35171">
      <w:pPr>
        <w:numPr>
          <w:ilvl w:val="0"/>
          <w:numId w:val="13"/>
        </w:numPr>
        <w:tabs>
          <w:tab w:val="left" w:pos="3349"/>
        </w:tabs>
        <w:rPr>
          <w:rFonts w:cs="Arial"/>
          <w:sz w:val="22"/>
          <w:szCs w:val="22"/>
          <w:lang w:val="en-US"/>
        </w:rPr>
      </w:pPr>
      <w:r w:rsidRPr="00D35171">
        <w:rPr>
          <w:rFonts w:cs="Arial"/>
          <w:sz w:val="22"/>
          <w:szCs w:val="22"/>
          <w:lang w:val="en-US"/>
        </w:rPr>
        <w:t xml:space="preserve">Finally, the knowledge of the etiology (PEX) reinforced the surgical indication. The IOH associated with </w:t>
      </w:r>
      <w:proofErr w:type="spellStart"/>
      <w:r w:rsidRPr="00D35171">
        <w:rPr>
          <w:rFonts w:cs="Arial"/>
          <w:sz w:val="22"/>
          <w:szCs w:val="22"/>
          <w:lang w:val="en-US"/>
        </w:rPr>
        <w:t>pseudoexfoliation</w:t>
      </w:r>
      <w:proofErr w:type="spellEnd"/>
      <w:r w:rsidRPr="00D35171">
        <w:rPr>
          <w:rFonts w:cs="Arial"/>
          <w:sz w:val="22"/>
          <w:szCs w:val="22"/>
          <w:lang w:val="en-US"/>
        </w:rPr>
        <w:t xml:space="preserve"> syndrome is not a reversible condition; the natural history of the disease inexorably progresses towards worsening. Moreover, for a given IOH, the rate of conversion to glaucoma is twice as high in patients with </w:t>
      </w:r>
      <w:proofErr w:type="spellStart"/>
      <w:r w:rsidRPr="00D35171">
        <w:rPr>
          <w:rFonts w:cs="Arial"/>
          <w:sz w:val="22"/>
          <w:szCs w:val="22"/>
          <w:lang w:val="en-US"/>
        </w:rPr>
        <w:t>pseudoexfoliation</w:t>
      </w:r>
      <w:proofErr w:type="spellEnd"/>
      <w:r w:rsidRPr="00D35171">
        <w:rPr>
          <w:rFonts w:cs="Arial"/>
          <w:sz w:val="22"/>
          <w:szCs w:val="22"/>
          <w:lang w:val="en-US"/>
        </w:rPr>
        <w:t xml:space="preserve"> than in patients with isolated IOH</w:t>
      </w:r>
      <w:r w:rsidR="006331FE">
        <w:rPr>
          <w:rFonts w:cs="Arial"/>
          <w:sz w:val="22"/>
          <w:szCs w:val="22"/>
          <w:lang w:val="en-US"/>
        </w:rPr>
        <w:fldChar w:fldCharType="begin"/>
      </w:r>
      <w:r w:rsidR="006331FE">
        <w:rPr>
          <w:rFonts w:cs="Arial"/>
          <w:sz w:val="22"/>
          <w:szCs w:val="22"/>
          <w:lang w:val="en-US"/>
        </w:rPr>
        <w:instrText xml:space="preserve"> ADDIN ZOTERO_ITEM CSL_CITATION {"citationID":"O5sQ9dJq","properties":{"formattedCitation":"\\super 9\\nosupersub{}","plainCitation":"9","noteIndex":0},"citationItems":[{"id":1777,"uris":["http://zotero.org/users/7569632/items/GWDYHHAE"],"itemData":{"id":1777,"type":"article-journal","abstract":"Purpose\nTo compare glaucoma conversion rates in patients with ocular hypertension (OH) with and without pseudoexfoliation.\nDesign\nCohort study, based on 32 918 screening participants.\nParticipants and controls\nNinety-eight patients with OH and pseudoexfoliation and 98 matched controls.\nMain outcome measure\nPerimetric glaucoma conversion.\nMethods\nA population-based glaucoma screening of elderly citizens of Malmö, Sweden, was conducted between 1992 and 1997 to recruit participants for the Early Manifest Glaucoma Trial. Screening participants with intraocular pressure (IOP) between 24 and 32 mmHg and pseudoexfoliation were compared to controls among other screening participants without pseudoexfoliation but matched for baseline IOP, age, and gender, and the 2 groups were invited to a reexamination. Computerized visual field tests were performed to identify persons with manifest glaucoma. Visual acuity, refraction, IOP, and central corneal thickness were also measured.\nResults\nAfter a mean of 8.7 years (range: 6.3–11.4), 54 of 98 patients (55.1%) with pseudoexfoliation at the baseline examination and 27 of 98 patients (27.6%) without pseudoexfoliation had developed glaucoma. The risk ratio was 2.0 (P&lt;0.0001).\nConclusion\nThe glaucoma conversion rate was twice as high in patients with OH and pseudoexfoliation as in control patients matched for IOP, age, and gender. Thus, pseudoexfoliation was a strong independent risk factor for glaucoma in patients with OH.","container-title":"Ophthalmology","DOI":"10.1016/j.ophtha.2004.09.024","ISSN":"0161-6420","issue":"3","journalAbbreviation":"Ophthalmology","page":"386-390","source":"ScienceDirect","title":"Risk of glaucoma in ocular hypertension with and without pseudoexfoliation","volume":"112","author":[{"family":"Grødum","given":"Kirsti"},{"family":"Heijl","given":"Anders"},{"family":"Bengtsson","given":"Bo"}],"issued":{"date-parts":[["2005",3,1]]}}}],"schema":"https://github.com/citation-style-language/schema/raw/master/csl-citation.json"} </w:instrText>
      </w:r>
      <w:r w:rsidR="006331FE">
        <w:rPr>
          <w:rFonts w:cs="Arial"/>
          <w:sz w:val="22"/>
          <w:szCs w:val="22"/>
          <w:lang w:val="en-US"/>
        </w:rPr>
        <w:fldChar w:fldCharType="separate"/>
      </w:r>
      <w:r w:rsidR="006331FE" w:rsidRPr="006331FE">
        <w:rPr>
          <w:rFonts w:cs="Arial"/>
          <w:kern w:val="0"/>
          <w:sz w:val="22"/>
          <w:vertAlign w:val="superscript"/>
          <w:lang w:val="en-US"/>
        </w:rPr>
        <w:t>9</w:t>
      </w:r>
      <w:r w:rsidR="006331FE">
        <w:rPr>
          <w:rFonts w:cs="Arial"/>
          <w:sz w:val="22"/>
          <w:szCs w:val="22"/>
          <w:lang w:val="en-US"/>
        </w:rPr>
        <w:fldChar w:fldCharType="end"/>
      </w:r>
      <w:r w:rsidRPr="00D35171">
        <w:rPr>
          <w:rFonts w:cs="Arial"/>
          <w:sz w:val="22"/>
          <w:szCs w:val="22"/>
          <w:lang w:val="en-US"/>
        </w:rPr>
        <w:t>, likely due to changes in the lamina cribrosa and vascular network.</w:t>
      </w:r>
    </w:p>
    <w:p w14:paraId="5A1FC45F" w14:textId="77777777" w:rsidR="00D35171" w:rsidRPr="00D35171" w:rsidRDefault="00D35171" w:rsidP="00A02AA5">
      <w:pPr>
        <w:tabs>
          <w:tab w:val="left" w:pos="3349"/>
        </w:tabs>
        <w:rPr>
          <w:rFonts w:cs="Arial"/>
          <w:sz w:val="22"/>
          <w:szCs w:val="22"/>
          <w:lang w:val="en-US"/>
        </w:rPr>
      </w:pPr>
    </w:p>
    <w:p w14:paraId="16ED3FB1" w14:textId="77777777" w:rsidR="00A02AA5" w:rsidRPr="00D35171" w:rsidRDefault="00A02AA5" w:rsidP="00A02AA5">
      <w:pPr>
        <w:tabs>
          <w:tab w:val="left" w:pos="3349"/>
        </w:tabs>
        <w:rPr>
          <w:rFonts w:cs="Arial"/>
          <w:sz w:val="22"/>
          <w:szCs w:val="22"/>
          <w:lang w:val="en-US"/>
        </w:rPr>
      </w:pPr>
    </w:p>
    <w:p w14:paraId="67A2C6F0" w14:textId="55D2FA4C" w:rsidR="00EA7C63" w:rsidRPr="00CE5D85" w:rsidRDefault="00E17F83" w:rsidP="000F0594">
      <w:pPr>
        <w:rPr>
          <w:rFonts w:cs="Arial"/>
          <w:b/>
          <w:bCs/>
          <w:sz w:val="28"/>
          <w:szCs w:val="28"/>
          <w:lang w:val="en-US"/>
        </w:rPr>
      </w:pPr>
      <w:r w:rsidRPr="00CE5D85">
        <w:rPr>
          <w:rFonts w:cs="Arial"/>
          <w:b/>
          <w:bCs/>
          <w:sz w:val="28"/>
          <w:szCs w:val="28"/>
          <w:lang w:val="en-US"/>
        </w:rPr>
        <w:t>Conclusion</w:t>
      </w:r>
    </w:p>
    <w:p w14:paraId="739126CD" w14:textId="77777777" w:rsidR="00D35171" w:rsidRDefault="00D35171" w:rsidP="00D35171">
      <w:pPr>
        <w:rPr>
          <w:rFonts w:cs="Arial"/>
          <w:b/>
          <w:bCs/>
          <w:sz w:val="22"/>
          <w:szCs w:val="22"/>
          <w:lang w:val="en-US"/>
        </w:rPr>
      </w:pPr>
    </w:p>
    <w:p w14:paraId="45D7EE89" w14:textId="6F037AF6" w:rsidR="00D35171" w:rsidRPr="00D35171" w:rsidRDefault="00D35171" w:rsidP="00D35171">
      <w:pPr>
        <w:rPr>
          <w:rFonts w:cs="Arial"/>
          <w:sz w:val="22"/>
          <w:szCs w:val="22"/>
          <w:lang w:val="en-US"/>
        </w:rPr>
      </w:pPr>
      <w:r w:rsidRPr="00D35171">
        <w:rPr>
          <w:rFonts w:cs="Arial"/>
          <w:sz w:val="22"/>
          <w:szCs w:val="22"/>
          <w:lang w:val="en-US"/>
        </w:rPr>
        <w:t xml:space="preserve">This clinical case highlights the importance of an </w:t>
      </w:r>
      <w:r w:rsidRPr="00D35171">
        <w:rPr>
          <w:rFonts w:cs="Arial"/>
          <w:b/>
          <w:bCs/>
          <w:sz w:val="22"/>
          <w:szCs w:val="22"/>
          <w:lang w:val="en-US"/>
        </w:rPr>
        <w:t>exhaustive diagnostic approach</w:t>
      </w:r>
      <w:r w:rsidRPr="00D35171">
        <w:rPr>
          <w:rFonts w:cs="Arial"/>
          <w:sz w:val="22"/>
          <w:szCs w:val="22"/>
          <w:lang w:val="en-US"/>
        </w:rPr>
        <w:t xml:space="preserve"> in glaucoma management, even if it can be time-consuming and require additional tests. A precise diagnosis of the specific type of glaucoma not only allows for tailored treatment but also helps anticipate the disease's evolution by providing a better understanding of its natural history.</w:t>
      </w:r>
    </w:p>
    <w:p w14:paraId="07E6E76C" w14:textId="757D5310" w:rsidR="00D35171" w:rsidRPr="00D35171" w:rsidRDefault="00D35171" w:rsidP="00D35171">
      <w:pPr>
        <w:rPr>
          <w:rFonts w:cs="Arial"/>
          <w:sz w:val="22"/>
          <w:szCs w:val="22"/>
          <w:lang w:val="en-US"/>
        </w:rPr>
      </w:pPr>
      <w:r w:rsidRPr="00D35171">
        <w:rPr>
          <w:rFonts w:cs="Arial"/>
          <w:sz w:val="22"/>
          <w:szCs w:val="22"/>
          <w:lang w:val="en-US"/>
        </w:rPr>
        <w:t xml:space="preserve">In our case, recognizing </w:t>
      </w:r>
      <w:proofErr w:type="spellStart"/>
      <w:r w:rsidRPr="00D35171">
        <w:rPr>
          <w:rFonts w:cs="Arial"/>
          <w:b/>
          <w:bCs/>
          <w:sz w:val="22"/>
          <w:szCs w:val="22"/>
          <w:lang w:val="en-US"/>
        </w:rPr>
        <w:t>pseudoexfoliation</w:t>
      </w:r>
      <w:proofErr w:type="spellEnd"/>
      <w:r w:rsidRPr="00D35171">
        <w:rPr>
          <w:rFonts w:cs="Arial"/>
          <w:b/>
          <w:bCs/>
          <w:sz w:val="22"/>
          <w:szCs w:val="22"/>
          <w:lang w:val="en-US"/>
        </w:rPr>
        <w:t xml:space="preserve"> syndrome</w:t>
      </w:r>
      <w:r w:rsidRPr="00D35171">
        <w:rPr>
          <w:rFonts w:cs="Arial"/>
          <w:sz w:val="22"/>
          <w:szCs w:val="22"/>
          <w:lang w:val="en-US"/>
        </w:rPr>
        <w:t xml:space="preserve"> justified an early surgical intervention. Knowing this pathology's tendency to be severe, to become bilateral over time, and to progress more rapidly, we were able to institute preventive treatment in the contralateral eye. These measures have allowed us to achieve excellent IOP control and, to date, prevent </w:t>
      </w:r>
      <w:r w:rsidR="00F93BC1">
        <w:rPr>
          <w:rFonts w:cs="Arial"/>
          <w:sz w:val="22"/>
          <w:szCs w:val="22"/>
          <w:lang w:val="en-US"/>
        </w:rPr>
        <w:t>evolution</w:t>
      </w:r>
      <w:r w:rsidRPr="00D35171">
        <w:rPr>
          <w:rFonts w:cs="Arial"/>
          <w:sz w:val="22"/>
          <w:szCs w:val="22"/>
          <w:lang w:val="en-US"/>
        </w:rPr>
        <w:t xml:space="preserve"> of glaucomatous neuropathy after </w:t>
      </w:r>
      <w:r w:rsidR="00F93BC1">
        <w:rPr>
          <w:rFonts w:cs="Arial"/>
          <w:sz w:val="22"/>
          <w:szCs w:val="22"/>
          <w:lang w:val="en-US"/>
        </w:rPr>
        <w:t>4</w:t>
      </w:r>
      <w:r w:rsidRPr="00D35171">
        <w:rPr>
          <w:rFonts w:cs="Arial"/>
          <w:sz w:val="22"/>
          <w:szCs w:val="22"/>
          <w:lang w:val="en-US"/>
        </w:rPr>
        <w:t xml:space="preserve"> years of follow-up.</w:t>
      </w:r>
    </w:p>
    <w:p w14:paraId="04BEE830" w14:textId="77777777" w:rsidR="00EA7C63" w:rsidRPr="00D35171" w:rsidRDefault="00EA7C63" w:rsidP="000F0594">
      <w:pPr>
        <w:rPr>
          <w:rFonts w:cs="Arial"/>
          <w:sz w:val="22"/>
          <w:szCs w:val="22"/>
          <w:lang w:val="en-US"/>
        </w:rPr>
      </w:pPr>
    </w:p>
    <w:p w14:paraId="770AB4E4" w14:textId="77777777" w:rsidR="00E17F83" w:rsidRDefault="00E17F83" w:rsidP="000F0594">
      <w:pPr>
        <w:rPr>
          <w:rFonts w:cs="Arial"/>
          <w:sz w:val="22"/>
          <w:szCs w:val="22"/>
          <w:lang w:val="en-US"/>
        </w:rPr>
      </w:pPr>
    </w:p>
    <w:p w14:paraId="34B70B1E" w14:textId="77777777" w:rsidR="00D35171" w:rsidRDefault="00D35171" w:rsidP="000F0594">
      <w:pPr>
        <w:rPr>
          <w:rFonts w:cs="Arial"/>
          <w:sz w:val="22"/>
          <w:szCs w:val="22"/>
          <w:lang w:val="en-US"/>
        </w:rPr>
      </w:pPr>
    </w:p>
    <w:p w14:paraId="3C9C7F04" w14:textId="77777777" w:rsidR="00D35171" w:rsidRPr="00D35171" w:rsidRDefault="00D35171" w:rsidP="000F0594">
      <w:pPr>
        <w:rPr>
          <w:rFonts w:cs="Arial"/>
          <w:sz w:val="22"/>
          <w:szCs w:val="22"/>
          <w:lang w:val="en-US"/>
        </w:rPr>
      </w:pPr>
    </w:p>
    <w:p w14:paraId="75984D31" w14:textId="6ED651FA" w:rsidR="00E17F83" w:rsidRPr="00557D17" w:rsidRDefault="00E17F83" w:rsidP="000F0594">
      <w:pPr>
        <w:rPr>
          <w:rFonts w:cs="Arial"/>
          <w:b/>
          <w:bCs/>
          <w:sz w:val="28"/>
          <w:szCs w:val="28"/>
        </w:rPr>
      </w:pPr>
      <w:proofErr w:type="spellStart"/>
      <w:r w:rsidRPr="00557D17">
        <w:rPr>
          <w:rFonts w:cs="Arial"/>
          <w:b/>
          <w:bCs/>
          <w:sz w:val="28"/>
          <w:szCs w:val="28"/>
        </w:rPr>
        <w:t>References</w:t>
      </w:r>
      <w:proofErr w:type="spellEnd"/>
    </w:p>
    <w:p w14:paraId="107E903F" w14:textId="77777777" w:rsidR="00E17F83" w:rsidRPr="00557D17" w:rsidRDefault="00E17F83" w:rsidP="000F0594">
      <w:pPr>
        <w:rPr>
          <w:rFonts w:cs="Arial"/>
          <w:sz w:val="22"/>
          <w:szCs w:val="22"/>
        </w:rPr>
      </w:pPr>
    </w:p>
    <w:p w14:paraId="7FC8D34A" w14:textId="77777777" w:rsidR="006331FE" w:rsidRPr="00876E5D" w:rsidRDefault="006331FE" w:rsidP="006331FE">
      <w:pPr>
        <w:pStyle w:val="Bibliographie1"/>
        <w:rPr>
          <w:lang w:val="en-US"/>
        </w:rPr>
      </w:pPr>
      <w:r>
        <w:fldChar w:fldCharType="begin"/>
      </w:r>
      <w:r>
        <w:instrText xml:space="preserve"> ADDIN ZOTERO_BIBL {"uncited":[],"omitted":[],"custom":[]} CSL_BIBLIOGRAPHY </w:instrText>
      </w:r>
      <w:r>
        <w:fldChar w:fldCharType="separate"/>
      </w:r>
      <w:r w:rsidRPr="006331FE">
        <w:t>1.</w:t>
      </w:r>
      <w:r w:rsidRPr="006331FE">
        <w:tab/>
        <w:t xml:space="preserve">Sellem E. Quand l’hypertension oculaire est unilatérale. </w:t>
      </w:r>
      <w:r w:rsidRPr="00876E5D">
        <w:rPr>
          <w:i/>
          <w:iCs/>
          <w:lang w:val="en-US"/>
        </w:rPr>
        <w:t>J Fr Ophtalmol</w:t>
      </w:r>
      <w:r w:rsidRPr="00876E5D">
        <w:rPr>
          <w:lang w:val="en-US"/>
        </w:rPr>
        <w:t>. 2006;29.</w:t>
      </w:r>
    </w:p>
    <w:p w14:paraId="565ECAF9" w14:textId="77777777" w:rsidR="006331FE" w:rsidRPr="00876E5D" w:rsidRDefault="006331FE" w:rsidP="006331FE">
      <w:pPr>
        <w:pStyle w:val="Bibliographie1"/>
        <w:rPr>
          <w:lang w:val="en-US"/>
        </w:rPr>
      </w:pPr>
      <w:r w:rsidRPr="00876E5D">
        <w:rPr>
          <w:lang w:val="en-US"/>
        </w:rPr>
        <w:t>2.</w:t>
      </w:r>
      <w:r w:rsidRPr="00876E5D">
        <w:rPr>
          <w:lang w:val="en-US"/>
        </w:rPr>
        <w:tab/>
        <w:t xml:space="preserve">Sbeity Z, Palmiero PM, Tello C, Liebmann JM, Ritch R. Noncontact In Vivo Confocal Laser Scanning Microscopy of Exfoliation Syndrome. </w:t>
      </w:r>
      <w:r w:rsidRPr="00876E5D">
        <w:rPr>
          <w:i/>
          <w:iCs/>
          <w:lang w:val="en-US"/>
        </w:rPr>
        <w:t>Trans Am Ophthalmol Soc</w:t>
      </w:r>
      <w:r w:rsidRPr="00876E5D">
        <w:rPr>
          <w:lang w:val="en-US"/>
        </w:rPr>
        <w:t>. 2008;106:46-55.</w:t>
      </w:r>
    </w:p>
    <w:p w14:paraId="0D9D8D80" w14:textId="77777777" w:rsidR="006331FE" w:rsidRPr="00876E5D" w:rsidRDefault="006331FE" w:rsidP="006331FE">
      <w:pPr>
        <w:pStyle w:val="Bibliographie1"/>
        <w:rPr>
          <w:lang w:val="en-US"/>
        </w:rPr>
      </w:pPr>
      <w:r w:rsidRPr="00876E5D">
        <w:rPr>
          <w:lang w:val="en-US"/>
        </w:rPr>
        <w:t>3.</w:t>
      </w:r>
      <w:r w:rsidRPr="00876E5D">
        <w:rPr>
          <w:lang w:val="en-US"/>
        </w:rPr>
        <w:tab/>
        <w:t xml:space="preserve">Sbeity Z, Palmiero PM, Tello C, Liebmann JM, Ritch R. Non-contact in vivo confocal scanning laser microscopy in exfoliation syndrome, exfoliation syndrome suspect and normal eyes. </w:t>
      </w:r>
      <w:r w:rsidRPr="00876E5D">
        <w:rPr>
          <w:i/>
          <w:iCs/>
          <w:lang w:val="en-US"/>
        </w:rPr>
        <w:t>Acta Ophthalmol (Copenh)</w:t>
      </w:r>
      <w:r w:rsidRPr="00876E5D">
        <w:rPr>
          <w:lang w:val="en-US"/>
        </w:rPr>
        <w:t>. 2011;89(3):241-247. doi:10.1111/j.1755-3768.2009.01678.x</w:t>
      </w:r>
    </w:p>
    <w:p w14:paraId="704A0F36" w14:textId="77777777" w:rsidR="006331FE" w:rsidRPr="00F93BC1" w:rsidRDefault="006331FE" w:rsidP="006331FE">
      <w:pPr>
        <w:pStyle w:val="Bibliographie1"/>
        <w:rPr>
          <w:lang w:val="en-US"/>
        </w:rPr>
      </w:pPr>
      <w:r w:rsidRPr="00876E5D">
        <w:rPr>
          <w:lang w:val="en-US"/>
        </w:rPr>
        <w:t>4.</w:t>
      </w:r>
      <w:r w:rsidRPr="00876E5D">
        <w:rPr>
          <w:lang w:val="en-US"/>
        </w:rPr>
        <w:tab/>
        <w:t xml:space="preserve">Martone G, Casprini F, Traversi C, Lepri F, Pichierri P, Caporossi A. Pseudoexfoliation syndrome: in vivo confocal microscopy analysis. </w:t>
      </w:r>
      <w:r w:rsidRPr="00F93BC1">
        <w:rPr>
          <w:i/>
          <w:iCs/>
          <w:lang w:val="en-US"/>
        </w:rPr>
        <w:t>Clin Experiment Ophthalmol</w:t>
      </w:r>
      <w:r w:rsidRPr="00F93BC1">
        <w:rPr>
          <w:lang w:val="en-US"/>
        </w:rPr>
        <w:t>. 2007;35(6):582-585. doi:10.1111/j.1442-9071.2007.01535.x</w:t>
      </w:r>
    </w:p>
    <w:p w14:paraId="64366ECB" w14:textId="77777777" w:rsidR="006331FE" w:rsidRPr="006331FE" w:rsidRDefault="006331FE" w:rsidP="006331FE">
      <w:pPr>
        <w:pStyle w:val="Bibliographie1"/>
        <w:rPr>
          <w:lang w:val="en-US"/>
        </w:rPr>
      </w:pPr>
      <w:r w:rsidRPr="006331FE">
        <w:rPr>
          <w:lang w:val="en-US"/>
        </w:rPr>
        <w:t>5.</w:t>
      </w:r>
      <w:r w:rsidRPr="006331FE">
        <w:rPr>
          <w:lang w:val="en-US"/>
        </w:rPr>
        <w:tab/>
        <w:t xml:space="preserve">Oltulu R, Satirtav G, Kayitmazbatir ET, Bitirgen GD, Ozkagnici A, Karaibrahimoglu A. Characteristics of the cornea in patients with pseudoexfoliation syndrome. </w:t>
      </w:r>
      <w:r w:rsidRPr="006331FE">
        <w:rPr>
          <w:i/>
          <w:iCs/>
          <w:lang w:val="en-US"/>
        </w:rPr>
        <w:t>Arq Bras Oftalmol</w:t>
      </w:r>
      <w:r w:rsidRPr="006331FE">
        <w:rPr>
          <w:lang w:val="en-US"/>
        </w:rPr>
        <w:t>. 2015;78(6). doi:10.5935/0004-2749.20150092</w:t>
      </w:r>
    </w:p>
    <w:p w14:paraId="17455C68" w14:textId="77777777" w:rsidR="006331FE" w:rsidRPr="006331FE" w:rsidRDefault="006331FE" w:rsidP="006331FE">
      <w:pPr>
        <w:pStyle w:val="Bibliographie1"/>
        <w:rPr>
          <w:lang w:val="en-US"/>
        </w:rPr>
      </w:pPr>
      <w:r w:rsidRPr="006331FE">
        <w:rPr>
          <w:lang w:val="en-US"/>
        </w:rPr>
        <w:t>6.</w:t>
      </w:r>
      <w:r w:rsidRPr="006331FE">
        <w:rPr>
          <w:lang w:val="en-US"/>
        </w:rPr>
        <w:tab/>
        <w:t xml:space="preserve">10.1016/s0246-0343(17)77762-3. </w:t>
      </w:r>
      <w:r w:rsidRPr="006331FE">
        <w:rPr>
          <w:i/>
          <w:iCs/>
          <w:lang w:val="en-US"/>
        </w:rPr>
        <w:t>CrossRef Listing Deleted DOIs</w:t>
      </w:r>
      <w:r w:rsidRPr="006331FE">
        <w:rPr>
          <w:lang w:val="en-US"/>
        </w:rPr>
        <w:t>. Published online 2000. doi:10.1016/s0246-0343(17)77762-3</w:t>
      </w:r>
    </w:p>
    <w:p w14:paraId="5AF6C285" w14:textId="77777777" w:rsidR="006331FE" w:rsidRPr="00876E5D" w:rsidRDefault="006331FE" w:rsidP="006331FE">
      <w:pPr>
        <w:pStyle w:val="Bibliographie1"/>
        <w:rPr>
          <w:lang w:val="en-US"/>
        </w:rPr>
      </w:pPr>
      <w:r w:rsidRPr="006331FE">
        <w:rPr>
          <w:lang w:val="en-US"/>
        </w:rPr>
        <w:lastRenderedPageBreak/>
        <w:t>7.</w:t>
      </w:r>
      <w:r w:rsidRPr="006331FE">
        <w:rPr>
          <w:lang w:val="en-US"/>
        </w:rPr>
        <w:tab/>
        <w:t xml:space="preserve">Schumacher S, Nguyen NX, Küchle M, Naumann GO. </w:t>
      </w:r>
      <w:r w:rsidRPr="00876E5D">
        <w:rPr>
          <w:lang w:val="en-US"/>
        </w:rPr>
        <w:t xml:space="preserve">Quantification of aqueous flare after phacoemulsification with intraocular lens implantation in eyes with pseudoexfoliation syndrome. </w:t>
      </w:r>
      <w:r w:rsidRPr="00876E5D">
        <w:rPr>
          <w:i/>
          <w:iCs/>
          <w:lang w:val="en-US"/>
        </w:rPr>
        <w:t>Arch Ophthalmol Chic Ill 1960</w:t>
      </w:r>
      <w:r w:rsidRPr="00876E5D">
        <w:rPr>
          <w:lang w:val="en-US"/>
        </w:rPr>
        <w:t>. 1999;117(6):733-735. doi:10.1001/archopht.117.6.733</w:t>
      </w:r>
    </w:p>
    <w:p w14:paraId="47913FC2" w14:textId="77777777" w:rsidR="006331FE" w:rsidRPr="00876E5D" w:rsidRDefault="006331FE" w:rsidP="006331FE">
      <w:pPr>
        <w:pStyle w:val="Bibliographie1"/>
        <w:rPr>
          <w:lang w:val="en-US"/>
        </w:rPr>
      </w:pPr>
      <w:r w:rsidRPr="00876E5D">
        <w:rPr>
          <w:lang w:val="en-US"/>
        </w:rPr>
        <w:t>8.</w:t>
      </w:r>
      <w:r w:rsidRPr="00876E5D">
        <w:rPr>
          <w:lang w:val="en-US"/>
        </w:rPr>
        <w:tab/>
        <w:t xml:space="preserve">Küchle M, Ho TS, Nguyen NX, Hannappel E, Naumann GO. Protein quantification and electrophoresis in aqueous humor of pseudoexfoliation eyes. </w:t>
      </w:r>
      <w:r w:rsidRPr="00876E5D">
        <w:rPr>
          <w:i/>
          <w:iCs/>
          <w:lang w:val="en-US"/>
        </w:rPr>
        <w:t>Invest Ophthalmol Vis Sci</w:t>
      </w:r>
      <w:r w:rsidRPr="00876E5D">
        <w:rPr>
          <w:lang w:val="en-US"/>
        </w:rPr>
        <w:t>. 1994;35(2):748-752.</w:t>
      </w:r>
    </w:p>
    <w:p w14:paraId="2A47CE58" w14:textId="77777777" w:rsidR="006331FE" w:rsidRPr="006331FE" w:rsidRDefault="006331FE" w:rsidP="006331FE">
      <w:pPr>
        <w:pStyle w:val="Bibliographie1"/>
      </w:pPr>
      <w:r w:rsidRPr="00876E5D">
        <w:rPr>
          <w:lang w:val="en-US"/>
        </w:rPr>
        <w:t>9.</w:t>
      </w:r>
      <w:r w:rsidRPr="00876E5D">
        <w:rPr>
          <w:lang w:val="en-US"/>
        </w:rPr>
        <w:tab/>
        <w:t xml:space="preserve">Grødum K, Heijl A, Bengtsson B. Risk of glaucoma in ocular hypertension with and without pseudoexfoliation. </w:t>
      </w:r>
      <w:r w:rsidRPr="006331FE">
        <w:rPr>
          <w:i/>
          <w:iCs/>
        </w:rPr>
        <w:t>Ophthalmology</w:t>
      </w:r>
      <w:r w:rsidRPr="006331FE">
        <w:t>. 2005;112(3):386-390. doi:10.1016/j.ophtha.2004.09.024</w:t>
      </w:r>
    </w:p>
    <w:p w14:paraId="418C7040" w14:textId="0AF2F936" w:rsidR="00E17F83" w:rsidRPr="00557D17" w:rsidRDefault="006331FE" w:rsidP="000F0594">
      <w:pPr>
        <w:ind w:left="360"/>
        <w:rPr>
          <w:rFonts w:cs="Arial"/>
          <w:sz w:val="22"/>
          <w:szCs w:val="22"/>
        </w:rPr>
      </w:pPr>
      <w:r>
        <w:rPr>
          <w:rFonts w:cs="Arial"/>
          <w:sz w:val="22"/>
          <w:szCs w:val="22"/>
        </w:rPr>
        <w:fldChar w:fldCharType="end"/>
      </w:r>
    </w:p>
    <w:p w14:paraId="7A75FD9B" w14:textId="77777777" w:rsidR="00E17F83" w:rsidRPr="00557D17" w:rsidRDefault="00E17F83" w:rsidP="000F0594">
      <w:pPr>
        <w:ind w:left="360"/>
        <w:rPr>
          <w:rFonts w:cs="Arial"/>
          <w:sz w:val="22"/>
          <w:szCs w:val="22"/>
        </w:rPr>
      </w:pPr>
    </w:p>
    <w:p w14:paraId="5240B8F9" w14:textId="77777777" w:rsidR="00E17F83" w:rsidRDefault="00E17F83" w:rsidP="00E17F83">
      <w:pPr>
        <w:rPr>
          <w:rFonts w:cs="Arial"/>
          <w:sz w:val="22"/>
          <w:szCs w:val="22"/>
        </w:rPr>
      </w:pPr>
    </w:p>
    <w:p w14:paraId="6FE43355" w14:textId="77777777" w:rsidR="002F76B4" w:rsidRDefault="002F76B4" w:rsidP="00E17F83">
      <w:pPr>
        <w:rPr>
          <w:rFonts w:cs="Arial"/>
          <w:sz w:val="22"/>
          <w:szCs w:val="22"/>
        </w:rPr>
      </w:pPr>
    </w:p>
    <w:p w14:paraId="25399797" w14:textId="77777777" w:rsidR="002F76B4" w:rsidRDefault="002F76B4" w:rsidP="00E17F83">
      <w:pPr>
        <w:rPr>
          <w:rFonts w:cs="Arial"/>
          <w:sz w:val="22"/>
          <w:szCs w:val="22"/>
        </w:rPr>
      </w:pPr>
    </w:p>
    <w:p w14:paraId="1E3634C0" w14:textId="182AFBD2" w:rsidR="002F76B4" w:rsidRPr="00557D17" w:rsidRDefault="002F76B4" w:rsidP="00E17F83">
      <w:pPr>
        <w:rPr>
          <w:rFonts w:cs="Arial"/>
          <w:sz w:val="22"/>
          <w:szCs w:val="22"/>
        </w:rPr>
      </w:pPr>
      <w:r>
        <w:rPr>
          <w:rFonts w:cs="Arial"/>
          <w:noProof/>
          <w:sz w:val="22"/>
          <w:szCs w:val="22"/>
        </w:rPr>
        <w:lastRenderedPageBreak/>
        <w:drawing>
          <wp:inline distT="0" distB="0" distL="0" distR="0" wp14:anchorId="1FA26FA0" wp14:editId="035F5B04">
            <wp:extent cx="5760720" cy="4304665"/>
            <wp:effectExtent l="0" t="0" r="5080" b="635"/>
            <wp:docPr id="4972300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30036" name="Image 497230036"/>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04665"/>
                    </a:xfrm>
                    <a:prstGeom prst="rect">
                      <a:avLst/>
                    </a:prstGeom>
                  </pic:spPr>
                </pic:pic>
              </a:graphicData>
            </a:graphic>
          </wp:inline>
        </w:drawing>
      </w:r>
      <w:r>
        <w:rPr>
          <w:rFonts w:cs="Arial"/>
          <w:noProof/>
          <w:sz w:val="22"/>
          <w:szCs w:val="22"/>
        </w:rPr>
        <w:drawing>
          <wp:inline distT="0" distB="0" distL="0" distR="0" wp14:anchorId="31A7EBFE" wp14:editId="57FC413B">
            <wp:extent cx="5760720" cy="4051300"/>
            <wp:effectExtent l="0" t="0" r="5080" b="0"/>
            <wp:docPr id="121282604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26042" name="Image 121282604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051300"/>
                    </a:xfrm>
                    <a:prstGeom prst="rect">
                      <a:avLst/>
                    </a:prstGeom>
                  </pic:spPr>
                </pic:pic>
              </a:graphicData>
            </a:graphic>
          </wp:inline>
        </w:drawing>
      </w:r>
      <w:r>
        <w:rPr>
          <w:rFonts w:cs="Arial"/>
          <w:noProof/>
          <w:sz w:val="22"/>
          <w:szCs w:val="22"/>
        </w:rPr>
        <w:lastRenderedPageBreak/>
        <w:drawing>
          <wp:inline distT="0" distB="0" distL="0" distR="0" wp14:anchorId="032D6634" wp14:editId="77CEEA37">
            <wp:extent cx="5760720" cy="4189730"/>
            <wp:effectExtent l="0" t="0" r="5080" b="1270"/>
            <wp:docPr id="175831428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314282" name="Image 175831428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189730"/>
                    </a:xfrm>
                    <a:prstGeom prst="rect">
                      <a:avLst/>
                    </a:prstGeom>
                  </pic:spPr>
                </pic:pic>
              </a:graphicData>
            </a:graphic>
          </wp:inline>
        </w:drawing>
      </w:r>
      <w:r>
        <w:rPr>
          <w:rFonts w:cs="Arial"/>
          <w:noProof/>
          <w:sz w:val="22"/>
          <w:szCs w:val="22"/>
        </w:rPr>
        <w:drawing>
          <wp:inline distT="0" distB="0" distL="0" distR="0" wp14:anchorId="617C91FD" wp14:editId="0B452CA8">
            <wp:extent cx="5760720" cy="3071495"/>
            <wp:effectExtent l="0" t="0" r="5080" b="1905"/>
            <wp:docPr id="104977425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74253" name="Image 104977425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071495"/>
                    </a:xfrm>
                    <a:prstGeom prst="rect">
                      <a:avLst/>
                    </a:prstGeom>
                  </pic:spPr>
                </pic:pic>
              </a:graphicData>
            </a:graphic>
          </wp:inline>
        </w:drawing>
      </w:r>
      <w:r>
        <w:rPr>
          <w:rFonts w:cs="Arial"/>
          <w:noProof/>
          <w:sz w:val="22"/>
          <w:szCs w:val="22"/>
        </w:rPr>
        <w:lastRenderedPageBreak/>
        <w:drawing>
          <wp:inline distT="0" distB="0" distL="0" distR="0" wp14:anchorId="08B3A27D" wp14:editId="5A0BA1A5">
            <wp:extent cx="5760720" cy="4067175"/>
            <wp:effectExtent l="0" t="0" r="5080" b="0"/>
            <wp:docPr id="7976944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9441" name="Image 7976944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067175"/>
                    </a:xfrm>
                    <a:prstGeom prst="rect">
                      <a:avLst/>
                    </a:prstGeom>
                  </pic:spPr>
                </pic:pic>
              </a:graphicData>
            </a:graphic>
          </wp:inline>
        </w:drawing>
      </w:r>
      <w:r>
        <w:rPr>
          <w:rFonts w:cs="Arial"/>
          <w:noProof/>
          <w:sz w:val="22"/>
          <w:szCs w:val="22"/>
        </w:rPr>
        <w:drawing>
          <wp:inline distT="0" distB="0" distL="0" distR="0" wp14:anchorId="43BD5F99" wp14:editId="6DD9DD4C">
            <wp:extent cx="5760720" cy="2837815"/>
            <wp:effectExtent l="0" t="0" r="5080" b="0"/>
            <wp:docPr id="73720183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01835" name="Image 73720183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837815"/>
                    </a:xfrm>
                    <a:prstGeom prst="rect">
                      <a:avLst/>
                    </a:prstGeom>
                  </pic:spPr>
                </pic:pic>
              </a:graphicData>
            </a:graphic>
          </wp:inline>
        </w:drawing>
      </w:r>
      <w:r>
        <w:rPr>
          <w:rFonts w:cs="Arial"/>
          <w:noProof/>
          <w:sz w:val="22"/>
          <w:szCs w:val="22"/>
        </w:rPr>
        <w:lastRenderedPageBreak/>
        <w:drawing>
          <wp:inline distT="0" distB="0" distL="0" distR="0" wp14:anchorId="440B75E4" wp14:editId="08598898">
            <wp:extent cx="5760720" cy="3343910"/>
            <wp:effectExtent l="0" t="0" r="5080" b="0"/>
            <wp:docPr id="191828776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87764" name="Image 191828776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343910"/>
                    </a:xfrm>
                    <a:prstGeom prst="rect">
                      <a:avLst/>
                    </a:prstGeom>
                  </pic:spPr>
                </pic:pic>
              </a:graphicData>
            </a:graphic>
          </wp:inline>
        </w:drawing>
      </w:r>
    </w:p>
    <w:sectPr w:rsidR="002F76B4" w:rsidRPr="00557D17" w:rsidSect="00BC5743">
      <w:pgSz w:w="11906" w:h="16838"/>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New Roman (Corps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E82822"/>
    <w:multiLevelType w:val="hybridMultilevel"/>
    <w:tmpl w:val="93FEE4DA"/>
    <w:lvl w:ilvl="0" w:tplc="0824B29C">
      <w:start w:val="3"/>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A4B35A0"/>
    <w:multiLevelType w:val="multilevel"/>
    <w:tmpl w:val="D3CA8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254260"/>
    <w:multiLevelType w:val="hybridMultilevel"/>
    <w:tmpl w:val="C8D6599C"/>
    <w:lvl w:ilvl="0" w:tplc="37F403A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BD75AA7"/>
    <w:multiLevelType w:val="multilevel"/>
    <w:tmpl w:val="19AC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FA2DED"/>
    <w:multiLevelType w:val="hybridMultilevel"/>
    <w:tmpl w:val="C98819DA"/>
    <w:lvl w:ilvl="0" w:tplc="04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51E5190"/>
    <w:multiLevelType w:val="hybridMultilevel"/>
    <w:tmpl w:val="706A33BC"/>
    <w:lvl w:ilvl="0" w:tplc="0AA6CCE4">
      <w:start w:val="1"/>
      <w:numFmt w:val="bullet"/>
      <w:lvlText w:val="-"/>
      <w:lvlJc w:val="left"/>
      <w:pPr>
        <w:tabs>
          <w:tab w:val="num" w:pos="720"/>
        </w:tabs>
        <w:ind w:left="720" w:hanging="360"/>
      </w:pPr>
      <w:rPr>
        <w:rFonts w:ascii="Times New Roman" w:hAnsi="Times New Roman" w:hint="default"/>
      </w:rPr>
    </w:lvl>
    <w:lvl w:ilvl="1" w:tplc="D84A118A" w:tentative="1">
      <w:start w:val="1"/>
      <w:numFmt w:val="bullet"/>
      <w:lvlText w:val="-"/>
      <w:lvlJc w:val="left"/>
      <w:pPr>
        <w:tabs>
          <w:tab w:val="num" w:pos="1440"/>
        </w:tabs>
        <w:ind w:left="1440" w:hanging="360"/>
      </w:pPr>
      <w:rPr>
        <w:rFonts w:ascii="Times New Roman" w:hAnsi="Times New Roman" w:hint="default"/>
      </w:rPr>
    </w:lvl>
    <w:lvl w:ilvl="2" w:tplc="48F68E6C" w:tentative="1">
      <w:start w:val="1"/>
      <w:numFmt w:val="bullet"/>
      <w:lvlText w:val="-"/>
      <w:lvlJc w:val="left"/>
      <w:pPr>
        <w:tabs>
          <w:tab w:val="num" w:pos="2160"/>
        </w:tabs>
        <w:ind w:left="2160" w:hanging="360"/>
      </w:pPr>
      <w:rPr>
        <w:rFonts w:ascii="Times New Roman" w:hAnsi="Times New Roman" w:hint="default"/>
      </w:rPr>
    </w:lvl>
    <w:lvl w:ilvl="3" w:tplc="6C4408C6" w:tentative="1">
      <w:start w:val="1"/>
      <w:numFmt w:val="bullet"/>
      <w:lvlText w:val="-"/>
      <w:lvlJc w:val="left"/>
      <w:pPr>
        <w:tabs>
          <w:tab w:val="num" w:pos="2880"/>
        </w:tabs>
        <w:ind w:left="2880" w:hanging="360"/>
      </w:pPr>
      <w:rPr>
        <w:rFonts w:ascii="Times New Roman" w:hAnsi="Times New Roman" w:hint="default"/>
      </w:rPr>
    </w:lvl>
    <w:lvl w:ilvl="4" w:tplc="CE60DE26" w:tentative="1">
      <w:start w:val="1"/>
      <w:numFmt w:val="bullet"/>
      <w:lvlText w:val="-"/>
      <w:lvlJc w:val="left"/>
      <w:pPr>
        <w:tabs>
          <w:tab w:val="num" w:pos="3600"/>
        </w:tabs>
        <w:ind w:left="3600" w:hanging="360"/>
      </w:pPr>
      <w:rPr>
        <w:rFonts w:ascii="Times New Roman" w:hAnsi="Times New Roman" w:hint="default"/>
      </w:rPr>
    </w:lvl>
    <w:lvl w:ilvl="5" w:tplc="EA9E315C" w:tentative="1">
      <w:start w:val="1"/>
      <w:numFmt w:val="bullet"/>
      <w:lvlText w:val="-"/>
      <w:lvlJc w:val="left"/>
      <w:pPr>
        <w:tabs>
          <w:tab w:val="num" w:pos="4320"/>
        </w:tabs>
        <w:ind w:left="4320" w:hanging="360"/>
      </w:pPr>
      <w:rPr>
        <w:rFonts w:ascii="Times New Roman" w:hAnsi="Times New Roman" w:hint="default"/>
      </w:rPr>
    </w:lvl>
    <w:lvl w:ilvl="6" w:tplc="1ACA0F16" w:tentative="1">
      <w:start w:val="1"/>
      <w:numFmt w:val="bullet"/>
      <w:lvlText w:val="-"/>
      <w:lvlJc w:val="left"/>
      <w:pPr>
        <w:tabs>
          <w:tab w:val="num" w:pos="5040"/>
        </w:tabs>
        <w:ind w:left="5040" w:hanging="360"/>
      </w:pPr>
      <w:rPr>
        <w:rFonts w:ascii="Times New Roman" w:hAnsi="Times New Roman" w:hint="default"/>
      </w:rPr>
    </w:lvl>
    <w:lvl w:ilvl="7" w:tplc="0EDC7610" w:tentative="1">
      <w:start w:val="1"/>
      <w:numFmt w:val="bullet"/>
      <w:lvlText w:val="-"/>
      <w:lvlJc w:val="left"/>
      <w:pPr>
        <w:tabs>
          <w:tab w:val="num" w:pos="5760"/>
        </w:tabs>
        <w:ind w:left="5760" w:hanging="360"/>
      </w:pPr>
      <w:rPr>
        <w:rFonts w:ascii="Times New Roman" w:hAnsi="Times New Roman" w:hint="default"/>
      </w:rPr>
    </w:lvl>
    <w:lvl w:ilvl="8" w:tplc="E5AA327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F511BC9"/>
    <w:multiLevelType w:val="multilevel"/>
    <w:tmpl w:val="6A9EC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626C2D"/>
    <w:multiLevelType w:val="multilevel"/>
    <w:tmpl w:val="AE86B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CD5DFF"/>
    <w:multiLevelType w:val="multilevel"/>
    <w:tmpl w:val="764CA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0649FF"/>
    <w:multiLevelType w:val="multilevel"/>
    <w:tmpl w:val="0A02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8C208E6"/>
    <w:multiLevelType w:val="multilevel"/>
    <w:tmpl w:val="3418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6F4CBA"/>
    <w:multiLevelType w:val="hybridMultilevel"/>
    <w:tmpl w:val="8CB6B6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76439575">
    <w:abstractNumId w:val="3"/>
  </w:num>
  <w:num w:numId="2" w16cid:durableId="1959409224">
    <w:abstractNumId w:val="6"/>
  </w:num>
  <w:num w:numId="3" w16cid:durableId="1357000149">
    <w:abstractNumId w:val="1"/>
  </w:num>
  <w:num w:numId="4" w16cid:durableId="736362849">
    <w:abstractNumId w:val="10"/>
  </w:num>
  <w:num w:numId="5" w16cid:durableId="1988052407">
    <w:abstractNumId w:val="11"/>
  </w:num>
  <w:num w:numId="6" w16cid:durableId="1989439457">
    <w:abstractNumId w:val="4"/>
  </w:num>
  <w:num w:numId="7" w16cid:durableId="58746758">
    <w:abstractNumId w:val="7"/>
  </w:num>
  <w:num w:numId="8" w16cid:durableId="415975831">
    <w:abstractNumId w:val="12"/>
  </w:num>
  <w:num w:numId="9" w16cid:durableId="849373231">
    <w:abstractNumId w:val="0"/>
  </w:num>
  <w:num w:numId="10" w16cid:durableId="542250554">
    <w:abstractNumId w:val="5"/>
  </w:num>
  <w:num w:numId="11" w16cid:durableId="1088189145">
    <w:abstractNumId w:val="9"/>
  </w:num>
  <w:num w:numId="12" w16cid:durableId="180709928">
    <w:abstractNumId w:val="2"/>
  </w:num>
  <w:num w:numId="13" w16cid:durableId="85650718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4"/>
  <w:displayBackgroundShape/>
  <w:proofState w:spelling="clean" w:grammar="clean"/>
  <w:defaultTabStop w:val="708"/>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743"/>
    <w:rsid w:val="000166E9"/>
    <w:rsid w:val="00031844"/>
    <w:rsid w:val="000539E1"/>
    <w:rsid w:val="00065DE6"/>
    <w:rsid w:val="0007124E"/>
    <w:rsid w:val="000744F0"/>
    <w:rsid w:val="000A122B"/>
    <w:rsid w:val="000A572C"/>
    <w:rsid w:val="000D3151"/>
    <w:rsid w:val="000E49CB"/>
    <w:rsid w:val="000F0594"/>
    <w:rsid w:val="00105A44"/>
    <w:rsid w:val="00113730"/>
    <w:rsid w:val="001350E1"/>
    <w:rsid w:val="001618B0"/>
    <w:rsid w:val="00161C2C"/>
    <w:rsid w:val="00176C08"/>
    <w:rsid w:val="001B5453"/>
    <w:rsid w:val="001D07F6"/>
    <w:rsid w:val="00222412"/>
    <w:rsid w:val="00225739"/>
    <w:rsid w:val="00240AD1"/>
    <w:rsid w:val="00244F8F"/>
    <w:rsid w:val="0024703A"/>
    <w:rsid w:val="00264920"/>
    <w:rsid w:val="00264A12"/>
    <w:rsid w:val="00276D0C"/>
    <w:rsid w:val="00282A3A"/>
    <w:rsid w:val="00292E4B"/>
    <w:rsid w:val="00297366"/>
    <w:rsid w:val="002C4A15"/>
    <w:rsid w:val="002D3BC1"/>
    <w:rsid w:val="002E56EF"/>
    <w:rsid w:val="002F573A"/>
    <w:rsid w:val="002F76B4"/>
    <w:rsid w:val="00302552"/>
    <w:rsid w:val="00322F16"/>
    <w:rsid w:val="00334606"/>
    <w:rsid w:val="0035528F"/>
    <w:rsid w:val="00362E87"/>
    <w:rsid w:val="00375DDC"/>
    <w:rsid w:val="00386550"/>
    <w:rsid w:val="00392357"/>
    <w:rsid w:val="003A11AC"/>
    <w:rsid w:val="003E1914"/>
    <w:rsid w:val="003E2437"/>
    <w:rsid w:val="003F2208"/>
    <w:rsid w:val="003F6431"/>
    <w:rsid w:val="003F6FE2"/>
    <w:rsid w:val="003F70FE"/>
    <w:rsid w:val="00410A9A"/>
    <w:rsid w:val="00433BD6"/>
    <w:rsid w:val="00441B34"/>
    <w:rsid w:val="00464A15"/>
    <w:rsid w:val="00481BF6"/>
    <w:rsid w:val="00491060"/>
    <w:rsid w:val="004F7055"/>
    <w:rsid w:val="00534DCF"/>
    <w:rsid w:val="00542C96"/>
    <w:rsid w:val="00557D17"/>
    <w:rsid w:val="00574217"/>
    <w:rsid w:val="005A0511"/>
    <w:rsid w:val="005A57EB"/>
    <w:rsid w:val="005B0EF1"/>
    <w:rsid w:val="005C6A18"/>
    <w:rsid w:val="005F45D2"/>
    <w:rsid w:val="005F721A"/>
    <w:rsid w:val="006161BF"/>
    <w:rsid w:val="00616F81"/>
    <w:rsid w:val="00621952"/>
    <w:rsid w:val="006331FE"/>
    <w:rsid w:val="00640AAA"/>
    <w:rsid w:val="0067455B"/>
    <w:rsid w:val="006A3FFB"/>
    <w:rsid w:val="006A436F"/>
    <w:rsid w:val="006B2AC1"/>
    <w:rsid w:val="006B69E1"/>
    <w:rsid w:val="006E275A"/>
    <w:rsid w:val="006F2E12"/>
    <w:rsid w:val="006F4126"/>
    <w:rsid w:val="007628E2"/>
    <w:rsid w:val="007A6B53"/>
    <w:rsid w:val="007C72E1"/>
    <w:rsid w:val="007E745F"/>
    <w:rsid w:val="008245E8"/>
    <w:rsid w:val="00826E17"/>
    <w:rsid w:val="00827A2B"/>
    <w:rsid w:val="0084124F"/>
    <w:rsid w:val="00847896"/>
    <w:rsid w:val="0087100C"/>
    <w:rsid w:val="00876E5D"/>
    <w:rsid w:val="00895143"/>
    <w:rsid w:val="008C57B3"/>
    <w:rsid w:val="008C7E81"/>
    <w:rsid w:val="008D5D28"/>
    <w:rsid w:val="009351CC"/>
    <w:rsid w:val="009551C1"/>
    <w:rsid w:val="0097117D"/>
    <w:rsid w:val="0097458C"/>
    <w:rsid w:val="009A5EC2"/>
    <w:rsid w:val="009D02CD"/>
    <w:rsid w:val="009E56F6"/>
    <w:rsid w:val="00A02AA5"/>
    <w:rsid w:val="00A07C7A"/>
    <w:rsid w:val="00A66BDD"/>
    <w:rsid w:val="00A83776"/>
    <w:rsid w:val="00A92CCD"/>
    <w:rsid w:val="00AA5BB6"/>
    <w:rsid w:val="00AB3D4A"/>
    <w:rsid w:val="00B03420"/>
    <w:rsid w:val="00B06C21"/>
    <w:rsid w:val="00B15319"/>
    <w:rsid w:val="00B15F02"/>
    <w:rsid w:val="00B36775"/>
    <w:rsid w:val="00B46016"/>
    <w:rsid w:val="00B64985"/>
    <w:rsid w:val="00B82658"/>
    <w:rsid w:val="00B90407"/>
    <w:rsid w:val="00BC5743"/>
    <w:rsid w:val="00BE1053"/>
    <w:rsid w:val="00C02809"/>
    <w:rsid w:val="00C04093"/>
    <w:rsid w:val="00C327A4"/>
    <w:rsid w:val="00C40852"/>
    <w:rsid w:val="00C72B7C"/>
    <w:rsid w:val="00C838D4"/>
    <w:rsid w:val="00C92243"/>
    <w:rsid w:val="00CA2090"/>
    <w:rsid w:val="00CB2BD0"/>
    <w:rsid w:val="00CC5BA2"/>
    <w:rsid w:val="00CD7D22"/>
    <w:rsid w:val="00CE09B5"/>
    <w:rsid w:val="00CE4766"/>
    <w:rsid w:val="00CE50CC"/>
    <w:rsid w:val="00CE5D85"/>
    <w:rsid w:val="00CF45F6"/>
    <w:rsid w:val="00D35171"/>
    <w:rsid w:val="00D44EFA"/>
    <w:rsid w:val="00D54D48"/>
    <w:rsid w:val="00DB0B96"/>
    <w:rsid w:val="00DC3CD9"/>
    <w:rsid w:val="00DC5AE9"/>
    <w:rsid w:val="00DD3F3A"/>
    <w:rsid w:val="00DD42C2"/>
    <w:rsid w:val="00DF162D"/>
    <w:rsid w:val="00E17F83"/>
    <w:rsid w:val="00E25579"/>
    <w:rsid w:val="00E37F4A"/>
    <w:rsid w:val="00E70BF6"/>
    <w:rsid w:val="00E73343"/>
    <w:rsid w:val="00E954B0"/>
    <w:rsid w:val="00EA1692"/>
    <w:rsid w:val="00EA7C63"/>
    <w:rsid w:val="00EB04D8"/>
    <w:rsid w:val="00EB5FDB"/>
    <w:rsid w:val="00EF2693"/>
    <w:rsid w:val="00EF550E"/>
    <w:rsid w:val="00F0737E"/>
    <w:rsid w:val="00F12E21"/>
    <w:rsid w:val="00F20D86"/>
    <w:rsid w:val="00F93BC1"/>
    <w:rsid w:val="00F955EC"/>
    <w:rsid w:val="00F95ACB"/>
    <w:rsid w:val="00FA066A"/>
    <w:rsid w:val="00FA0F5F"/>
    <w:rsid w:val="00FB1495"/>
    <w:rsid w:val="00FB4F69"/>
    <w:rsid w:val="00FB6D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4473F"/>
  <w15:chartTrackingRefBased/>
  <w15:docId w15:val="{BA53E3BD-8E93-E846-9E08-BC90AEBD4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imes New Roman (Corps CS)"/>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Titre1">
    <w:name w:val="heading 1"/>
    <w:basedOn w:val="Normal"/>
    <w:next w:val="Normal"/>
    <w:link w:val="Titre1Car"/>
    <w:uiPriority w:val="9"/>
    <w:qFormat/>
    <w:rsid w:val="00BC574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BC574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unhideWhenUsed/>
    <w:qFormat/>
    <w:rsid w:val="00BC5743"/>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BC5743"/>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Titre5">
    <w:name w:val="heading 5"/>
    <w:basedOn w:val="Normal"/>
    <w:next w:val="Normal"/>
    <w:link w:val="Titre5Car"/>
    <w:uiPriority w:val="9"/>
    <w:semiHidden/>
    <w:unhideWhenUsed/>
    <w:qFormat/>
    <w:rsid w:val="00BC5743"/>
    <w:pPr>
      <w:keepNext/>
      <w:keepLines/>
      <w:spacing w:before="80" w:after="40"/>
      <w:outlineLvl w:val="4"/>
    </w:pPr>
    <w:rPr>
      <w:rFonts w:asciiTheme="minorHAnsi" w:eastAsiaTheme="majorEastAsia" w:hAnsiTheme="minorHAnsi" w:cstheme="majorBidi"/>
      <w:color w:val="2F5496" w:themeColor="accent1" w:themeShade="BF"/>
    </w:rPr>
  </w:style>
  <w:style w:type="paragraph" w:styleId="Titre6">
    <w:name w:val="heading 6"/>
    <w:basedOn w:val="Normal"/>
    <w:next w:val="Normal"/>
    <w:link w:val="Titre6Car"/>
    <w:uiPriority w:val="9"/>
    <w:semiHidden/>
    <w:unhideWhenUsed/>
    <w:qFormat/>
    <w:rsid w:val="00BC5743"/>
    <w:pPr>
      <w:keepNext/>
      <w:keepLines/>
      <w:spacing w:before="4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qFormat/>
    <w:rsid w:val="00BC5743"/>
    <w:pPr>
      <w:keepNext/>
      <w:keepLines/>
      <w:spacing w:before="4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BC5743"/>
    <w:pPr>
      <w:keepNext/>
      <w:keepLines/>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BC5743"/>
    <w:pPr>
      <w:keepNext/>
      <w:keepLines/>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C5743"/>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BC5743"/>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rsid w:val="00BC5743"/>
    <w:rPr>
      <w:rFonts w:asciiTheme="minorHAnsi" w:eastAsiaTheme="majorEastAsia" w:hAnsiTheme="minorHAnsi" w:cstheme="majorBidi"/>
      <w:color w:val="2F5496" w:themeColor="accent1" w:themeShade="BF"/>
      <w:sz w:val="28"/>
      <w:szCs w:val="28"/>
    </w:rPr>
  </w:style>
  <w:style w:type="character" w:customStyle="1" w:styleId="Titre4Car">
    <w:name w:val="Titre 4 Car"/>
    <w:basedOn w:val="Policepardfaut"/>
    <w:link w:val="Titre4"/>
    <w:uiPriority w:val="9"/>
    <w:semiHidden/>
    <w:rsid w:val="00BC5743"/>
    <w:rPr>
      <w:rFonts w:asciiTheme="minorHAnsi" w:eastAsiaTheme="majorEastAsia" w:hAnsiTheme="minorHAnsi" w:cstheme="majorBidi"/>
      <w:i/>
      <w:iCs/>
      <w:color w:val="2F5496" w:themeColor="accent1" w:themeShade="BF"/>
    </w:rPr>
  </w:style>
  <w:style w:type="character" w:customStyle="1" w:styleId="Titre5Car">
    <w:name w:val="Titre 5 Car"/>
    <w:basedOn w:val="Policepardfaut"/>
    <w:link w:val="Titre5"/>
    <w:uiPriority w:val="9"/>
    <w:semiHidden/>
    <w:rsid w:val="00BC5743"/>
    <w:rPr>
      <w:rFonts w:asciiTheme="minorHAnsi" w:eastAsiaTheme="majorEastAsia" w:hAnsiTheme="minorHAnsi" w:cstheme="majorBidi"/>
      <w:color w:val="2F5496" w:themeColor="accent1" w:themeShade="BF"/>
    </w:rPr>
  </w:style>
  <w:style w:type="character" w:customStyle="1" w:styleId="Titre6Car">
    <w:name w:val="Titre 6 Car"/>
    <w:basedOn w:val="Policepardfaut"/>
    <w:link w:val="Titre6"/>
    <w:uiPriority w:val="9"/>
    <w:semiHidden/>
    <w:rsid w:val="00BC5743"/>
    <w:rPr>
      <w:rFonts w:asciiTheme="minorHAnsi" w:eastAsiaTheme="majorEastAsia" w:hAnsiTheme="minorHAnsi" w:cstheme="majorBidi"/>
      <w:i/>
      <w:iCs/>
      <w:color w:val="595959" w:themeColor="text1" w:themeTint="A6"/>
    </w:rPr>
  </w:style>
  <w:style w:type="character" w:customStyle="1" w:styleId="Titre7Car">
    <w:name w:val="Titre 7 Car"/>
    <w:basedOn w:val="Policepardfaut"/>
    <w:link w:val="Titre7"/>
    <w:uiPriority w:val="9"/>
    <w:semiHidden/>
    <w:rsid w:val="00BC5743"/>
    <w:rPr>
      <w:rFonts w:asciiTheme="minorHAnsi" w:eastAsiaTheme="majorEastAsia" w:hAnsiTheme="minorHAnsi" w:cstheme="majorBidi"/>
      <w:color w:val="595959" w:themeColor="text1" w:themeTint="A6"/>
    </w:rPr>
  </w:style>
  <w:style w:type="character" w:customStyle="1" w:styleId="Titre8Car">
    <w:name w:val="Titre 8 Car"/>
    <w:basedOn w:val="Policepardfaut"/>
    <w:link w:val="Titre8"/>
    <w:uiPriority w:val="9"/>
    <w:semiHidden/>
    <w:rsid w:val="00BC5743"/>
    <w:rPr>
      <w:rFonts w:asciiTheme="minorHAnsi" w:eastAsiaTheme="majorEastAsia" w:hAnsiTheme="minorHAnsi" w:cstheme="majorBidi"/>
      <w:i/>
      <w:iCs/>
      <w:color w:val="272727" w:themeColor="text1" w:themeTint="D8"/>
    </w:rPr>
  </w:style>
  <w:style w:type="character" w:customStyle="1" w:styleId="Titre9Car">
    <w:name w:val="Titre 9 Car"/>
    <w:basedOn w:val="Policepardfaut"/>
    <w:link w:val="Titre9"/>
    <w:uiPriority w:val="9"/>
    <w:semiHidden/>
    <w:rsid w:val="00BC5743"/>
    <w:rPr>
      <w:rFonts w:asciiTheme="minorHAnsi" w:eastAsiaTheme="majorEastAsia" w:hAnsiTheme="minorHAnsi" w:cstheme="majorBidi"/>
      <w:color w:val="272727" w:themeColor="text1" w:themeTint="D8"/>
    </w:rPr>
  </w:style>
  <w:style w:type="paragraph" w:styleId="Titre">
    <w:name w:val="Title"/>
    <w:basedOn w:val="Normal"/>
    <w:next w:val="Normal"/>
    <w:link w:val="TitreCar"/>
    <w:uiPriority w:val="10"/>
    <w:qFormat/>
    <w:rsid w:val="00BC5743"/>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C5743"/>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BC574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BC5743"/>
    <w:rPr>
      <w:rFonts w:asciiTheme="minorHAnsi" w:eastAsiaTheme="majorEastAsia" w:hAnsiTheme="minorHAnsi" w:cstheme="majorBidi"/>
      <w:color w:val="595959" w:themeColor="text1" w:themeTint="A6"/>
      <w:spacing w:val="15"/>
      <w:sz w:val="28"/>
      <w:szCs w:val="28"/>
    </w:rPr>
  </w:style>
  <w:style w:type="paragraph" w:styleId="Citation">
    <w:name w:val="Quote"/>
    <w:basedOn w:val="Normal"/>
    <w:next w:val="Normal"/>
    <w:link w:val="CitationCar"/>
    <w:uiPriority w:val="29"/>
    <w:qFormat/>
    <w:rsid w:val="00BC5743"/>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BC5743"/>
    <w:rPr>
      <w:rFonts w:eastAsiaTheme="minorEastAsia"/>
      <w:i/>
      <w:iCs/>
      <w:color w:val="404040" w:themeColor="text1" w:themeTint="BF"/>
    </w:rPr>
  </w:style>
  <w:style w:type="paragraph" w:styleId="Paragraphedeliste">
    <w:name w:val="List Paragraph"/>
    <w:basedOn w:val="Normal"/>
    <w:uiPriority w:val="34"/>
    <w:qFormat/>
    <w:rsid w:val="00BC5743"/>
    <w:pPr>
      <w:ind w:left="720"/>
      <w:contextualSpacing/>
    </w:pPr>
  </w:style>
  <w:style w:type="character" w:styleId="Accentuationintense">
    <w:name w:val="Intense Emphasis"/>
    <w:basedOn w:val="Policepardfaut"/>
    <w:uiPriority w:val="21"/>
    <w:qFormat/>
    <w:rsid w:val="00BC5743"/>
    <w:rPr>
      <w:i/>
      <w:iCs/>
      <w:color w:val="2F5496" w:themeColor="accent1" w:themeShade="BF"/>
    </w:rPr>
  </w:style>
  <w:style w:type="paragraph" w:styleId="Citationintense">
    <w:name w:val="Intense Quote"/>
    <w:basedOn w:val="Normal"/>
    <w:next w:val="Normal"/>
    <w:link w:val="CitationintenseCar"/>
    <w:uiPriority w:val="30"/>
    <w:qFormat/>
    <w:rsid w:val="00BC574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BC5743"/>
    <w:rPr>
      <w:rFonts w:eastAsiaTheme="minorEastAsia"/>
      <w:i/>
      <w:iCs/>
      <w:color w:val="2F5496" w:themeColor="accent1" w:themeShade="BF"/>
    </w:rPr>
  </w:style>
  <w:style w:type="character" w:styleId="Rfrenceintense">
    <w:name w:val="Intense Reference"/>
    <w:basedOn w:val="Policepardfaut"/>
    <w:uiPriority w:val="32"/>
    <w:qFormat/>
    <w:rsid w:val="00BC5743"/>
    <w:rPr>
      <w:b/>
      <w:bCs/>
      <w:smallCaps/>
      <w:color w:val="2F5496" w:themeColor="accent1" w:themeShade="BF"/>
      <w:spacing w:val="5"/>
    </w:rPr>
  </w:style>
  <w:style w:type="paragraph" w:styleId="NormalWeb">
    <w:name w:val="Normal (Web)"/>
    <w:basedOn w:val="Normal"/>
    <w:uiPriority w:val="99"/>
    <w:semiHidden/>
    <w:unhideWhenUsed/>
    <w:rsid w:val="00640AAA"/>
    <w:rPr>
      <w:rFonts w:ascii="Times New Roman" w:hAnsi="Times New Roman" w:cs="Times New Roman"/>
    </w:rPr>
  </w:style>
  <w:style w:type="paragraph" w:customStyle="1" w:styleId="Bibliographie1">
    <w:name w:val="Bibliographie1"/>
    <w:basedOn w:val="Normal"/>
    <w:link w:val="BibliographyCar"/>
    <w:rsid w:val="006331FE"/>
    <w:pPr>
      <w:tabs>
        <w:tab w:val="left" w:pos="260"/>
      </w:tabs>
      <w:spacing w:after="240"/>
      <w:ind w:left="264" w:hanging="264"/>
    </w:pPr>
    <w:rPr>
      <w:rFonts w:cs="Arial"/>
      <w:sz w:val="22"/>
      <w:szCs w:val="22"/>
    </w:rPr>
  </w:style>
  <w:style w:type="character" w:customStyle="1" w:styleId="BibliographyCar">
    <w:name w:val="Bibliography Car"/>
    <w:basedOn w:val="Policepardfaut"/>
    <w:link w:val="Bibliographie1"/>
    <w:rsid w:val="006331FE"/>
    <w:rPr>
      <w:rFonts w:eastAsiaTheme="minorEastAsia"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07267">
      <w:bodyDiv w:val="1"/>
      <w:marLeft w:val="0"/>
      <w:marRight w:val="0"/>
      <w:marTop w:val="0"/>
      <w:marBottom w:val="0"/>
      <w:divBdr>
        <w:top w:val="none" w:sz="0" w:space="0" w:color="auto"/>
        <w:left w:val="none" w:sz="0" w:space="0" w:color="auto"/>
        <w:bottom w:val="none" w:sz="0" w:space="0" w:color="auto"/>
        <w:right w:val="none" w:sz="0" w:space="0" w:color="auto"/>
      </w:divBdr>
      <w:divsChild>
        <w:div w:id="1204833512">
          <w:marLeft w:val="0"/>
          <w:marRight w:val="0"/>
          <w:marTop w:val="0"/>
          <w:marBottom w:val="0"/>
          <w:divBdr>
            <w:top w:val="none" w:sz="0" w:space="0" w:color="auto"/>
            <w:left w:val="none" w:sz="0" w:space="0" w:color="auto"/>
            <w:bottom w:val="none" w:sz="0" w:space="0" w:color="auto"/>
            <w:right w:val="none" w:sz="0" w:space="0" w:color="auto"/>
          </w:divBdr>
          <w:divsChild>
            <w:div w:id="192377542">
              <w:marLeft w:val="0"/>
              <w:marRight w:val="0"/>
              <w:marTop w:val="0"/>
              <w:marBottom w:val="0"/>
              <w:divBdr>
                <w:top w:val="none" w:sz="0" w:space="0" w:color="auto"/>
                <w:left w:val="none" w:sz="0" w:space="0" w:color="auto"/>
                <w:bottom w:val="none" w:sz="0" w:space="0" w:color="auto"/>
                <w:right w:val="none" w:sz="0" w:space="0" w:color="auto"/>
              </w:divBdr>
              <w:divsChild>
                <w:div w:id="176294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03028">
      <w:bodyDiv w:val="1"/>
      <w:marLeft w:val="0"/>
      <w:marRight w:val="0"/>
      <w:marTop w:val="0"/>
      <w:marBottom w:val="0"/>
      <w:divBdr>
        <w:top w:val="none" w:sz="0" w:space="0" w:color="auto"/>
        <w:left w:val="none" w:sz="0" w:space="0" w:color="auto"/>
        <w:bottom w:val="none" w:sz="0" w:space="0" w:color="auto"/>
        <w:right w:val="none" w:sz="0" w:space="0" w:color="auto"/>
      </w:divBdr>
    </w:div>
    <w:div w:id="150608811">
      <w:bodyDiv w:val="1"/>
      <w:marLeft w:val="0"/>
      <w:marRight w:val="0"/>
      <w:marTop w:val="0"/>
      <w:marBottom w:val="0"/>
      <w:divBdr>
        <w:top w:val="none" w:sz="0" w:space="0" w:color="auto"/>
        <w:left w:val="none" w:sz="0" w:space="0" w:color="auto"/>
        <w:bottom w:val="none" w:sz="0" w:space="0" w:color="auto"/>
        <w:right w:val="none" w:sz="0" w:space="0" w:color="auto"/>
      </w:divBdr>
    </w:div>
    <w:div w:id="175922752">
      <w:bodyDiv w:val="1"/>
      <w:marLeft w:val="0"/>
      <w:marRight w:val="0"/>
      <w:marTop w:val="0"/>
      <w:marBottom w:val="0"/>
      <w:divBdr>
        <w:top w:val="none" w:sz="0" w:space="0" w:color="auto"/>
        <w:left w:val="none" w:sz="0" w:space="0" w:color="auto"/>
        <w:bottom w:val="none" w:sz="0" w:space="0" w:color="auto"/>
        <w:right w:val="none" w:sz="0" w:space="0" w:color="auto"/>
      </w:divBdr>
      <w:divsChild>
        <w:div w:id="1419718639">
          <w:marLeft w:val="0"/>
          <w:marRight w:val="0"/>
          <w:marTop w:val="0"/>
          <w:marBottom w:val="0"/>
          <w:divBdr>
            <w:top w:val="none" w:sz="0" w:space="0" w:color="auto"/>
            <w:left w:val="none" w:sz="0" w:space="0" w:color="auto"/>
            <w:bottom w:val="none" w:sz="0" w:space="0" w:color="auto"/>
            <w:right w:val="none" w:sz="0" w:space="0" w:color="auto"/>
          </w:divBdr>
          <w:divsChild>
            <w:div w:id="680813083">
              <w:marLeft w:val="0"/>
              <w:marRight w:val="0"/>
              <w:marTop w:val="0"/>
              <w:marBottom w:val="0"/>
              <w:divBdr>
                <w:top w:val="none" w:sz="0" w:space="0" w:color="auto"/>
                <w:left w:val="none" w:sz="0" w:space="0" w:color="auto"/>
                <w:bottom w:val="none" w:sz="0" w:space="0" w:color="auto"/>
                <w:right w:val="none" w:sz="0" w:space="0" w:color="auto"/>
              </w:divBdr>
              <w:divsChild>
                <w:div w:id="1837260007">
                  <w:marLeft w:val="0"/>
                  <w:marRight w:val="0"/>
                  <w:marTop w:val="0"/>
                  <w:marBottom w:val="0"/>
                  <w:divBdr>
                    <w:top w:val="none" w:sz="0" w:space="0" w:color="auto"/>
                    <w:left w:val="none" w:sz="0" w:space="0" w:color="auto"/>
                    <w:bottom w:val="none" w:sz="0" w:space="0" w:color="auto"/>
                    <w:right w:val="none" w:sz="0" w:space="0" w:color="auto"/>
                  </w:divBdr>
                  <w:divsChild>
                    <w:div w:id="193994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94998">
      <w:bodyDiv w:val="1"/>
      <w:marLeft w:val="0"/>
      <w:marRight w:val="0"/>
      <w:marTop w:val="0"/>
      <w:marBottom w:val="0"/>
      <w:divBdr>
        <w:top w:val="none" w:sz="0" w:space="0" w:color="auto"/>
        <w:left w:val="none" w:sz="0" w:space="0" w:color="auto"/>
        <w:bottom w:val="none" w:sz="0" w:space="0" w:color="auto"/>
        <w:right w:val="none" w:sz="0" w:space="0" w:color="auto"/>
      </w:divBdr>
      <w:divsChild>
        <w:div w:id="654142699">
          <w:marLeft w:val="0"/>
          <w:marRight w:val="0"/>
          <w:marTop w:val="0"/>
          <w:marBottom w:val="0"/>
          <w:divBdr>
            <w:top w:val="none" w:sz="0" w:space="0" w:color="auto"/>
            <w:left w:val="none" w:sz="0" w:space="0" w:color="auto"/>
            <w:bottom w:val="none" w:sz="0" w:space="0" w:color="auto"/>
            <w:right w:val="none" w:sz="0" w:space="0" w:color="auto"/>
          </w:divBdr>
          <w:divsChild>
            <w:div w:id="510337171">
              <w:marLeft w:val="0"/>
              <w:marRight w:val="0"/>
              <w:marTop w:val="0"/>
              <w:marBottom w:val="0"/>
              <w:divBdr>
                <w:top w:val="none" w:sz="0" w:space="0" w:color="auto"/>
                <w:left w:val="none" w:sz="0" w:space="0" w:color="auto"/>
                <w:bottom w:val="none" w:sz="0" w:space="0" w:color="auto"/>
                <w:right w:val="none" w:sz="0" w:space="0" w:color="auto"/>
              </w:divBdr>
              <w:divsChild>
                <w:div w:id="1125461253">
                  <w:marLeft w:val="0"/>
                  <w:marRight w:val="0"/>
                  <w:marTop w:val="0"/>
                  <w:marBottom w:val="0"/>
                  <w:divBdr>
                    <w:top w:val="none" w:sz="0" w:space="0" w:color="auto"/>
                    <w:left w:val="none" w:sz="0" w:space="0" w:color="auto"/>
                    <w:bottom w:val="none" w:sz="0" w:space="0" w:color="auto"/>
                    <w:right w:val="none" w:sz="0" w:space="0" w:color="auto"/>
                  </w:divBdr>
                  <w:divsChild>
                    <w:div w:id="1522864846">
                      <w:marLeft w:val="0"/>
                      <w:marRight w:val="0"/>
                      <w:marTop w:val="0"/>
                      <w:marBottom w:val="0"/>
                      <w:divBdr>
                        <w:top w:val="none" w:sz="0" w:space="0" w:color="auto"/>
                        <w:left w:val="none" w:sz="0" w:space="0" w:color="auto"/>
                        <w:bottom w:val="none" w:sz="0" w:space="0" w:color="auto"/>
                        <w:right w:val="none" w:sz="0" w:space="0" w:color="auto"/>
                      </w:divBdr>
                    </w:div>
                    <w:div w:id="198202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71298">
      <w:bodyDiv w:val="1"/>
      <w:marLeft w:val="0"/>
      <w:marRight w:val="0"/>
      <w:marTop w:val="0"/>
      <w:marBottom w:val="0"/>
      <w:divBdr>
        <w:top w:val="none" w:sz="0" w:space="0" w:color="auto"/>
        <w:left w:val="none" w:sz="0" w:space="0" w:color="auto"/>
        <w:bottom w:val="none" w:sz="0" w:space="0" w:color="auto"/>
        <w:right w:val="none" w:sz="0" w:space="0" w:color="auto"/>
      </w:divBdr>
      <w:divsChild>
        <w:div w:id="4216762">
          <w:marLeft w:val="0"/>
          <w:marRight w:val="0"/>
          <w:marTop w:val="0"/>
          <w:marBottom w:val="0"/>
          <w:divBdr>
            <w:top w:val="none" w:sz="0" w:space="0" w:color="auto"/>
            <w:left w:val="none" w:sz="0" w:space="0" w:color="auto"/>
            <w:bottom w:val="none" w:sz="0" w:space="0" w:color="auto"/>
            <w:right w:val="none" w:sz="0" w:space="0" w:color="auto"/>
          </w:divBdr>
          <w:divsChild>
            <w:div w:id="1927305102">
              <w:marLeft w:val="0"/>
              <w:marRight w:val="0"/>
              <w:marTop w:val="0"/>
              <w:marBottom w:val="0"/>
              <w:divBdr>
                <w:top w:val="none" w:sz="0" w:space="0" w:color="auto"/>
                <w:left w:val="none" w:sz="0" w:space="0" w:color="auto"/>
                <w:bottom w:val="none" w:sz="0" w:space="0" w:color="auto"/>
                <w:right w:val="none" w:sz="0" w:space="0" w:color="auto"/>
              </w:divBdr>
              <w:divsChild>
                <w:div w:id="676229624">
                  <w:marLeft w:val="0"/>
                  <w:marRight w:val="0"/>
                  <w:marTop w:val="0"/>
                  <w:marBottom w:val="0"/>
                  <w:divBdr>
                    <w:top w:val="none" w:sz="0" w:space="0" w:color="auto"/>
                    <w:left w:val="none" w:sz="0" w:space="0" w:color="auto"/>
                    <w:bottom w:val="none" w:sz="0" w:space="0" w:color="auto"/>
                    <w:right w:val="none" w:sz="0" w:space="0" w:color="auto"/>
                  </w:divBdr>
                  <w:divsChild>
                    <w:div w:id="1730886055">
                      <w:marLeft w:val="0"/>
                      <w:marRight w:val="0"/>
                      <w:marTop w:val="0"/>
                      <w:marBottom w:val="0"/>
                      <w:divBdr>
                        <w:top w:val="none" w:sz="0" w:space="0" w:color="auto"/>
                        <w:left w:val="none" w:sz="0" w:space="0" w:color="auto"/>
                        <w:bottom w:val="none" w:sz="0" w:space="0" w:color="auto"/>
                        <w:right w:val="none" w:sz="0" w:space="0" w:color="auto"/>
                      </w:divBdr>
                    </w:div>
                    <w:div w:id="174405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00329">
      <w:bodyDiv w:val="1"/>
      <w:marLeft w:val="0"/>
      <w:marRight w:val="0"/>
      <w:marTop w:val="0"/>
      <w:marBottom w:val="0"/>
      <w:divBdr>
        <w:top w:val="none" w:sz="0" w:space="0" w:color="auto"/>
        <w:left w:val="none" w:sz="0" w:space="0" w:color="auto"/>
        <w:bottom w:val="none" w:sz="0" w:space="0" w:color="auto"/>
        <w:right w:val="none" w:sz="0" w:space="0" w:color="auto"/>
      </w:divBdr>
    </w:div>
    <w:div w:id="311494328">
      <w:bodyDiv w:val="1"/>
      <w:marLeft w:val="0"/>
      <w:marRight w:val="0"/>
      <w:marTop w:val="0"/>
      <w:marBottom w:val="0"/>
      <w:divBdr>
        <w:top w:val="none" w:sz="0" w:space="0" w:color="auto"/>
        <w:left w:val="none" w:sz="0" w:space="0" w:color="auto"/>
        <w:bottom w:val="none" w:sz="0" w:space="0" w:color="auto"/>
        <w:right w:val="none" w:sz="0" w:space="0" w:color="auto"/>
      </w:divBdr>
    </w:div>
    <w:div w:id="353045874">
      <w:bodyDiv w:val="1"/>
      <w:marLeft w:val="0"/>
      <w:marRight w:val="0"/>
      <w:marTop w:val="0"/>
      <w:marBottom w:val="0"/>
      <w:divBdr>
        <w:top w:val="none" w:sz="0" w:space="0" w:color="auto"/>
        <w:left w:val="none" w:sz="0" w:space="0" w:color="auto"/>
        <w:bottom w:val="none" w:sz="0" w:space="0" w:color="auto"/>
        <w:right w:val="none" w:sz="0" w:space="0" w:color="auto"/>
      </w:divBdr>
      <w:divsChild>
        <w:div w:id="801728596">
          <w:marLeft w:val="0"/>
          <w:marRight w:val="0"/>
          <w:marTop w:val="0"/>
          <w:marBottom w:val="0"/>
          <w:divBdr>
            <w:top w:val="none" w:sz="0" w:space="0" w:color="auto"/>
            <w:left w:val="none" w:sz="0" w:space="0" w:color="auto"/>
            <w:bottom w:val="none" w:sz="0" w:space="0" w:color="auto"/>
            <w:right w:val="none" w:sz="0" w:space="0" w:color="auto"/>
          </w:divBdr>
          <w:divsChild>
            <w:div w:id="1742870661">
              <w:marLeft w:val="0"/>
              <w:marRight w:val="0"/>
              <w:marTop w:val="0"/>
              <w:marBottom w:val="0"/>
              <w:divBdr>
                <w:top w:val="none" w:sz="0" w:space="0" w:color="auto"/>
                <w:left w:val="none" w:sz="0" w:space="0" w:color="auto"/>
                <w:bottom w:val="none" w:sz="0" w:space="0" w:color="auto"/>
                <w:right w:val="none" w:sz="0" w:space="0" w:color="auto"/>
              </w:divBdr>
              <w:divsChild>
                <w:div w:id="205333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62319">
      <w:bodyDiv w:val="1"/>
      <w:marLeft w:val="0"/>
      <w:marRight w:val="0"/>
      <w:marTop w:val="0"/>
      <w:marBottom w:val="0"/>
      <w:divBdr>
        <w:top w:val="none" w:sz="0" w:space="0" w:color="auto"/>
        <w:left w:val="none" w:sz="0" w:space="0" w:color="auto"/>
        <w:bottom w:val="none" w:sz="0" w:space="0" w:color="auto"/>
        <w:right w:val="none" w:sz="0" w:space="0" w:color="auto"/>
      </w:divBdr>
    </w:div>
    <w:div w:id="478498531">
      <w:bodyDiv w:val="1"/>
      <w:marLeft w:val="0"/>
      <w:marRight w:val="0"/>
      <w:marTop w:val="0"/>
      <w:marBottom w:val="0"/>
      <w:divBdr>
        <w:top w:val="none" w:sz="0" w:space="0" w:color="auto"/>
        <w:left w:val="none" w:sz="0" w:space="0" w:color="auto"/>
        <w:bottom w:val="none" w:sz="0" w:space="0" w:color="auto"/>
        <w:right w:val="none" w:sz="0" w:space="0" w:color="auto"/>
      </w:divBdr>
      <w:divsChild>
        <w:div w:id="1498880753">
          <w:marLeft w:val="0"/>
          <w:marRight w:val="0"/>
          <w:marTop w:val="0"/>
          <w:marBottom w:val="0"/>
          <w:divBdr>
            <w:top w:val="none" w:sz="0" w:space="0" w:color="auto"/>
            <w:left w:val="none" w:sz="0" w:space="0" w:color="auto"/>
            <w:bottom w:val="none" w:sz="0" w:space="0" w:color="auto"/>
            <w:right w:val="none" w:sz="0" w:space="0" w:color="auto"/>
          </w:divBdr>
          <w:divsChild>
            <w:div w:id="1918056214">
              <w:marLeft w:val="0"/>
              <w:marRight w:val="0"/>
              <w:marTop w:val="0"/>
              <w:marBottom w:val="0"/>
              <w:divBdr>
                <w:top w:val="none" w:sz="0" w:space="0" w:color="auto"/>
                <w:left w:val="none" w:sz="0" w:space="0" w:color="auto"/>
                <w:bottom w:val="none" w:sz="0" w:space="0" w:color="auto"/>
                <w:right w:val="none" w:sz="0" w:space="0" w:color="auto"/>
              </w:divBdr>
              <w:divsChild>
                <w:div w:id="17201544">
                  <w:marLeft w:val="0"/>
                  <w:marRight w:val="0"/>
                  <w:marTop w:val="0"/>
                  <w:marBottom w:val="0"/>
                  <w:divBdr>
                    <w:top w:val="none" w:sz="0" w:space="0" w:color="auto"/>
                    <w:left w:val="none" w:sz="0" w:space="0" w:color="auto"/>
                    <w:bottom w:val="none" w:sz="0" w:space="0" w:color="auto"/>
                    <w:right w:val="none" w:sz="0" w:space="0" w:color="auto"/>
                  </w:divBdr>
                  <w:divsChild>
                    <w:div w:id="106124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665923">
      <w:bodyDiv w:val="1"/>
      <w:marLeft w:val="0"/>
      <w:marRight w:val="0"/>
      <w:marTop w:val="0"/>
      <w:marBottom w:val="0"/>
      <w:divBdr>
        <w:top w:val="none" w:sz="0" w:space="0" w:color="auto"/>
        <w:left w:val="none" w:sz="0" w:space="0" w:color="auto"/>
        <w:bottom w:val="none" w:sz="0" w:space="0" w:color="auto"/>
        <w:right w:val="none" w:sz="0" w:space="0" w:color="auto"/>
      </w:divBdr>
    </w:div>
    <w:div w:id="570388392">
      <w:bodyDiv w:val="1"/>
      <w:marLeft w:val="0"/>
      <w:marRight w:val="0"/>
      <w:marTop w:val="0"/>
      <w:marBottom w:val="0"/>
      <w:divBdr>
        <w:top w:val="none" w:sz="0" w:space="0" w:color="auto"/>
        <w:left w:val="none" w:sz="0" w:space="0" w:color="auto"/>
        <w:bottom w:val="none" w:sz="0" w:space="0" w:color="auto"/>
        <w:right w:val="none" w:sz="0" w:space="0" w:color="auto"/>
      </w:divBdr>
    </w:div>
    <w:div w:id="646395608">
      <w:bodyDiv w:val="1"/>
      <w:marLeft w:val="0"/>
      <w:marRight w:val="0"/>
      <w:marTop w:val="0"/>
      <w:marBottom w:val="0"/>
      <w:divBdr>
        <w:top w:val="none" w:sz="0" w:space="0" w:color="auto"/>
        <w:left w:val="none" w:sz="0" w:space="0" w:color="auto"/>
        <w:bottom w:val="none" w:sz="0" w:space="0" w:color="auto"/>
        <w:right w:val="none" w:sz="0" w:space="0" w:color="auto"/>
      </w:divBdr>
    </w:div>
    <w:div w:id="767846247">
      <w:bodyDiv w:val="1"/>
      <w:marLeft w:val="0"/>
      <w:marRight w:val="0"/>
      <w:marTop w:val="0"/>
      <w:marBottom w:val="0"/>
      <w:divBdr>
        <w:top w:val="none" w:sz="0" w:space="0" w:color="auto"/>
        <w:left w:val="none" w:sz="0" w:space="0" w:color="auto"/>
        <w:bottom w:val="none" w:sz="0" w:space="0" w:color="auto"/>
        <w:right w:val="none" w:sz="0" w:space="0" w:color="auto"/>
      </w:divBdr>
      <w:divsChild>
        <w:div w:id="279580204">
          <w:marLeft w:val="0"/>
          <w:marRight w:val="0"/>
          <w:marTop w:val="0"/>
          <w:marBottom w:val="0"/>
          <w:divBdr>
            <w:top w:val="none" w:sz="0" w:space="0" w:color="auto"/>
            <w:left w:val="none" w:sz="0" w:space="0" w:color="auto"/>
            <w:bottom w:val="none" w:sz="0" w:space="0" w:color="auto"/>
            <w:right w:val="none" w:sz="0" w:space="0" w:color="auto"/>
          </w:divBdr>
          <w:divsChild>
            <w:div w:id="1801417223">
              <w:marLeft w:val="0"/>
              <w:marRight w:val="0"/>
              <w:marTop w:val="0"/>
              <w:marBottom w:val="0"/>
              <w:divBdr>
                <w:top w:val="none" w:sz="0" w:space="0" w:color="auto"/>
                <w:left w:val="none" w:sz="0" w:space="0" w:color="auto"/>
                <w:bottom w:val="none" w:sz="0" w:space="0" w:color="auto"/>
                <w:right w:val="none" w:sz="0" w:space="0" w:color="auto"/>
              </w:divBdr>
              <w:divsChild>
                <w:div w:id="54587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777303">
      <w:bodyDiv w:val="1"/>
      <w:marLeft w:val="0"/>
      <w:marRight w:val="0"/>
      <w:marTop w:val="0"/>
      <w:marBottom w:val="0"/>
      <w:divBdr>
        <w:top w:val="none" w:sz="0" w:space="0" w:color="auto"/>
        <w:left w:val="none" w:sz="0" w:space="0" w:color="auto"/>
        <w:bottom w:val="none" w:sz="0" w:space="0" w:color="auto"/>
        <w:right w:val="none" w:sz="0" w:space="0" w:color="auto"/>
      </w:divBdr>
    </w:div>
    <w:div w:id="1116485844">
      <w:bodyDiv w:val="1"/>
      <w:marLeft w:val="0"/>
      <w:marRight w:val="0"/>
      <w:marTop w:val="0"/>
      <w:marBottom w:val="0"/>
      <w:divBdr>
        <w:top w:val="none" w:sz="0" w:space="0" w:color="auto"/>
        <w:left w:val="none" w:sz="0" w:space="0" w:color="auto"/>
        <w:bottom w:val="none" w:sz="0" w:space="0" w:color="auto"/>
        <w:right w:val="none" w:sz="0" w:space="0" w:color="auto"/>
      </w:divBdr>
    </w:div>
    <w:div w:id="1223564604">
      <w:bodyDiv w:val="1"/>
      <w:marLeft w:val="0"/>
      <w:marRight w:val="0"/>
      <w:marTop w:val="0"/>
      <w:marBottom w:val="0"/>
      <w:divBdr>
        <w:top w:val="none" w:sz="0" w:space="0" w:color="auto"/>
        <w:left w:val="none" w:sz="0" w:space="0" w:color="auto"/>
        <w:bottom w:val="none" w:sz="0" w:space="0" w:color="auto"/>
        <w:right w:val="none" w:sz="0" w:space="0" w:color="auto"/>
      </w:divBdr>
    </w:div>
    <w:div w:id="1266183449">
      <w:bodyDiv w:val="1"/>
      <w:marLeft w:val="0"/>
      <w:marRight w:val="0"/>
      <w:marTop w:val="0"/>
      <w:marBottom w:val="0"/>
      <w:divBdr>
        <w:top w:val="none" w:sz="0" w:space="0" w:color="auto"/>
        <w:left w:val="none" w:sz="0" w:space="0" w:color="auto"/>
        <w:bottom w:val="none" w:sz="0" w:space="0" w:color="auto"/>
        <w:right w:val="none" w:sz="0" w:space="0" w:color="auto"/>
      </w:divBdr>
      <w:divsChild>
        <w:div w:id="1322004729">
          <w:marLeft w:val="0"/>
          <w:marRight w:val="0"/>
          <w:marTop w:val="0"/>
          <w:marBottom w:val="0"/>
          <w:divBdr>
            <w:top w:val="none" w:sz="0" w:space="0" w:color="auto"/>
            <w:left w:val="none" w:sz="0" w:space="0" w:color="auto"/>
            <w:bottom w:val="none" w:sz="0" w:space="0" w:color="auto"/>
            <w:right w:val="none" w:sz="0" w:space="0" w:color="auto"/>
          </w:divBdr>
          <w:divsChild>
            <w:div w:id="1760711027">
              <w:marLeft w:val="0"/>
              <w:marRight w:val="0"/>
              <w:marTop w:val="0"/>
              <w:marBottom w:val="0"/>
              <w:divBdr>
                <w:top w:val="none" w:sz="0" w:space="0" w:color="auto"/>
                <w:left w:val="none" w:sz="0" w:space="0" w:color="auto"/>
                <w:bottom w:val="none" w:sz="0" w:space="0" w:color="auto"/>
                <w:right w:val="none" w:sz="0" w:space="0" w:color="auto"/>
              </w:divBdr>
              <w:divsChild>
                <w:div w:id="20391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23121">
      <w:bodyDiv w:val="1"/>
      <w:marLeft w:val="0"/>
      <w:marRight w:val="0"/>
      <w:marTop w:val="0"/>
      <w:marBottom w:val="0"/>
      <w:divBdr>
        <w:top w:val="none" w:sz="0" w:space="0" w:color="auto"/>
        <w:left w:val="none" w:sz="0" w:space="0" w:color="auto"/>
        <w:bottom w:val="none" w:sz="0" w:space="0" w:color="auto"/>
        <w:right w:val="none" w:sz="0" w:space="0" w:color="auto"/>
      </w:divBdr>
    </w:div>
    <w:div w:id="1323968902">
      <w:bodyDiv w:val="1"/>
      <w:marLeft w:val="0"/>
      <w:marRight w:val="0"/>
      <w:marTop w:val="0"/>
      <w:marBottom w:val="0"/>
      <w:divBdr>
        <w:top w:val="none" w:sz="0" w:space="0" w:color="auto"/>
        <w:left w:val="none" w:sz="0" w:space="0" w:color="auto"/>
        <w:bottom w:val="none" w:sz="0" w:space="0" w:color="auto"/>
        <w:right w:val="none" w:sz="0" w:space="0" w:color="auto"/>
      </w:divBdr>
    </w:div>
    <w:div w:id="1368872917">
      <w:bodyDiv w:val="1"/>
      <w:marLeft w:val="0"/>
      <w:marRight w:val="0"/>
      <w:marTop w:val="0"/>
      <w:marBottom w:val="0"/>
      <w:divBdr>
        <w:top w:val="none" w:sz="0" w:space="0" w:color="auto"/>
        <w:left w:val="none" w:sz="0" w:space="0" w:color="auto"/>
        <w:bottom w:val="none" w:sz="0" w:space="0" w:color="auto"/>
        <w:right w:val="none" w:sz="0" w:space="0" w:color="auto"/>
      </w:divBdr>
    </w:div>
    <w:div w:id="1433823000">
      <w:bodyDiv w:val="1"/>
      <w:marLeft w:val="0"/>
      <w:marRight w:val="0"/>
      <w:marTop w:val="0"/>
      <w:marBottom w:val="0"/>
      <w:divBdr>
        <w:top w:val="none" w:sz="0" w:space="0" w:color="auto"/>
        <w:left w:val="none" w:sz="0" w:space="0" w:color="auto"/>
        <w:bottom w:val="none" w:sz="0" w:space="0" w:color="auto"/>
        <w:right w:val="none" w:sz="0" w:space="0" w:color="auto"/>
      </w:divBdr>
    </w:div>
    <w:div w:id="1488394880">
      <w:bodyDiv w:val="1"/>
      <w:marLeft w:val="0"/>
      <w:marRight w:val="0"/>
      <w:marTop w:val="0"/>
      <w:marBottom w:val="0"/>
      <w:divBdr>
        <w:top w:val="none" w:sz="0" w:space="0" w:color="auto"/>
        <w:left w:val="none" w:sz="0" w:space="0" w:color="auto"/>
        <w:bottom w:val="none" w:sz="0" w:space="0" w:color="auto"/>
        <w:right w:val="none" w:sz="0" w:space="0" w:color="auto"/>
      </w:divBdr>
    </w:div>
    <w:div w:id="1556308823">
      <w:bodyDiv w:val="1"/>
      <w:marLeft w:val="0"/>
      <w:marRight w:val="0"/>
      <w:marTop w:val="0"/>
      <w:marBottom w:val="0"/>
      <w:divBdr>
        <w:top w:val="none" w:sz="0" w:space="0" w:color="auto"/>
        <w:left w:val="none" w:sz="0" w:space="0" w:color="auto"/>
        <w:bottom w:val="none" w:sz="0" w:space="0" w:color="auto"/>
        <w:right w:val="none" w:sz="0" w:space="0" w:color="auto"/>
      </w:divBdr>
    </w:div>
    <w:div w:id="1642614109">
      <w:bodyDiv w:val="1"/>
      <w:marLeft w:val="0"/>
      <w:marRight w:val="0"/>
      <w:marTop w:val="0"/>
      <w:marBottom w:val="0"/>
      <w:divBdr>
        <w:top w:val="none" w:sz="0" w:space="0" w:color="auto"/>
        <w:left w:val="none" w:sz="0" w:space="0" w:color="auto"/>
        <w:bottom w:val="none" w:sz="0" w:space="0" w:color="auto"/>
        <w:right w:val="none" w:sz="0" w:space="0" w:color="auto"/>
      </w:divBdr>
    </w:div>
    <w:div w:id="1706953027">
      <w:bodyDiv w:val="1"/>
      <w:marLeft w:val="0"/>
      <w:marRight w:val="0"/>
      <w:marTop w:val="0"/>
      <w:marBottom w:val="0"/>
      <w:divBdr>
        <w:top w:val="none" w:sz="0" w:space="0" w:color="auto"/>
        <w:left w:val="none" w:sz="0" w:space="0" w:color="auto"/>
        <w:bottom w:val="none" w:sz="0" w:space="0" w:color="auto"/>
        <w:right w:val="none" w:sz="0" w:space="0" w:color="auto"/>
      </w:divBdr>
    </w:div>
    <w:div w:id="1728872350">
      <w:bodyDiv w:val="1"/>
      <w:marLeft w:val="0"/>
      <w:marRight w:val="0"/>
      <w:marTop w:val="0"/>
      <w:marBottom w:val="0"/>
      <w:divBdr>
        <w:top w:val="none" w:sz="0" w:space="0" w:color="auto"/>
        <w:left w:val="none" w:sz="0" w:space="0" w:color="auto"/>
        <w:bottom w:val="none" w:sz="0" w:space="0" w:color="auto"/>
        <w:right w:val="none" w:sz="0" w:space="0" w:color="auto"/>
      </w:divBdr>
    </w:div>
    <w:div w:id="1762869441">
      <w:bodyDiv w:val="1"/>
      <w:marLeft w:val="0"/>
      <w:marRight w:val="0"/>
      <w:marTop w:val="0"/>
      <w:marBottom w:val="0"/>
      <w:divBdr>
        <w:top w:val="none" w:sz="0" w:space="0" w:color="auto"/>
        <w:left w:val="none" w:sz="0" w:space="0" w:color="auto"/>
        <w:bottom w:val="none" w:sz="0" w:space="0" w:color="auto"/>
        <w:right w:val="none" w:sz="0" w:space="0" w:color="auto"/>
      </w:divBdr>
      <w:divsChild>
        <w:div w:id="1055931486">
          <w:marLeft w:val="0"/>
          <w:marRight w:val="0"/>
          <w:marTop w:val="0"/>
          <w:marBottom w:val="0"/>
          <w:divBdr>
            <w:top w:val="none" w:sz="0" w:space="0" w:color="auto"/>
            <w:left w:val="none" w:sz="0" w:space="0" w:color="auto"/>
            <w:bottom w:val="none" w:sz="0" w:space="0" w:color="auto"/>
            <w:right w:val="none" w:sz="0" w:space="0" w:color="auto"/>
          </w:divBdr>
          <w:divsChild>
            <w:div w:id="775711423">
              <w:marLeft w:val="0"/>
              <w:marRight w:val="0"/>
              <w:marTop w:val="0"/>
              <w:marBottom w:val="0"/>
              <w:divBdr>
                <w:top w:val="none" w:sz="0" w:space="0" w:color="auto"/>
                <w:left w:val="none" w:sz="0" w:space="0" w:color="auto"/>
                <w:bottom w:val="none" w:sz="0" w:space="0" w:color="auto"/>
                <w:right w:val="none" w:sz="0" w:space="0" w:color="auto"/>
              </w:divBdr>
              <w:divsChild>
                <w:div w:id="668992570">
                  <w:marLeft w:val="0"/>
                  <w:marRight w:val="0"/>
                  <w:marTop w:val="0"/>
                  <w:marBottom w:val="0"/>
                  <w:divBdr>
                    <w:top w:val="none" w:sz="0" w:space="0" w:color="auto"/>
                    <w:left w:val="none" w:sz="0" w:space="0" w:color="auto"/>
                    <w:bottom w:val="none" w:sz="0" w:space="0" w:color="auto"/>
                    <w:right w:val="none" w:sz="0" w:space="0" w:color="auto"/>
                  </w:divBdr>
                  <w:divsChild>
                    <w:div w:id="63290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306009">
      <w:bodyDiv w:val="1"/>
      <w:marLeft w:val="0"/>
      <w:marRight w:val="0"/>
      <w:marTop w:val="0"/>
      <w:marBottom w:val="0"/>
      <w:divBdr>
        <w:top w:val="none" w:sz="0" w:space="0" w:color="auto"/>
        <w:left w:val="none" w:sz="0" w:space="0" w:color="auto"/>
        <w:bottom w:val="none" w:sz="0" w:space="0" w:color="auto"/>
        <w:right w:val="none" w:sz="0" w:space="0" w:color="auto"/>
      </w:divBdr>
      <w:divsChild>
        <w:div w:id="1051415601">
          <w:marLeft w:val="0"/>
          <w:marRight w:val="0"/>
          <w:marTop w:val="0"/>
          <w:marBottom w:val="0"/>
          <w:divBdr>
            <w:top w:val="none" w:sz="0" w:space="0" w:color="auto"/>
            <w:left w:val="none" w:sz="0" w:space="0" w:color="auto"/>
            <w:bottom w:val="none" w:sz="0" w:space="0" w:color="auto"/>
            <w:right w:val="none" w:sz="0" w:space="0" w:color="auto"/>
          </w:divBdr>
          <w:divsChild>
            <w:div w:id="1671329408">
              <w:marLeft w:val="0"/>
              <w:marRight w:val="0"/>
              <w:marTop w:val="0"/>
              <w:marBottom w:val="0"/>
              <w:divBdr>
                <w:top w:val="none" w:sz="0" w:space="0" w:color="auto"/>
                <w:left w:val="none" w:sz="0" w:space="0" w:color="auto"/>
                <w:bottom w:val="none" w:sz="0" w:space="0" w:color="auto"/>
                <w:right w:val="none" w:sz="0" w:space="0" w:color="auto"/>
              </w:divBdr>
              <w:divsChild>
                <w:div w:id="1104031423">
                  <w:marLeft w:val="0"/>
                  <w:marRight w:val="0"/>
                  <w:marTop w:val="0"/>
                  <w:marBottom w:val="0"/>
                  <w:divBdr>
                    <w:top w:val="none" w:sz="0" w:space="0" w:color="auto"/>
                    <w:left w:val="none" w:sz="0" w:space="0" w:color="auto"/>
                    <w:bottom w:val="none" w:sz="0" w:space="0" w:color="auto"/>
                    <w:right w:val="none" w:sz="0" w:space="0" w:color="auto"/>
                  </w:divBdr>
                  <w:divsChild>
                    <w:div w:id="163390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662952">
      <w:bodyDiv w:val="1"/>
      <w:marLeft w:val="0"/>
      <w:marRight w:val="0"/>
      <w:marTop w:val="0"/>
      <w:marBottom w:val="0"/>
      <w:divBdr>
        <w:top w:val="none" w:sz="0" w:space="0" w:color="auto"/>
        <w:left w:val="none" w:sz="0" w:space="0" w:color="auto"/>
        <w:bottom w:val="none" w:sz="0" w:space="0" w:color="auto"/>
        <w:right w:val="none" w:sz="0" w:space="0" w:color="auto"/>
      </w:divBdr>
    </w:div>
    <w:div w:id="2032757368">
      <w:bodyDiv w:val="1"/>
      <w:marLeft w:val="0"/>
      <w:marRight w:val="0"/>
      <w:marTop w:val="0"/>
      <w:marBottom w:val="0"/>
      <w:divBdr>
        <w:top w:val="none" w:sz="0" w:space="0" w:color="auto"/>
        <w:left w:val="none" w:sz="0" w:space="0" w:color="auto"/>
        <w:bottom w:val="none" w:sz="0" w:space="0" w:color="auto"/>
        <w:right w:val="none" w:sz="0" w:space="0" w:color="auto"/>
      </w:divBdr>
    </w:div>
    <w:div w:id="2057922849">
      <w:bodyDiv w:val="1"/>
      <w:marLeft w:val="0"/>
      <w:marRight w:val="0"/>
      <w:marTop w:val="0"/>
      <w:marBottom w:val="0"/>
      <w:divBdr>
        <w:top w:val="none" w:sz="0" w:space="0" w:color="auto"/>
        <w:left w:val="none" w:sz="0" w:space="0" w:color="auto"/>
        <w:bottom w:val="none" w:sz="0" w:space="0" w:color="auto"/>
        <w:right w:val="none" w:sz="0" w:space="0" w:color="auto"/>
      </w:divBdr>
    </w:div>
    <w:div w:id="2086687359">
      <w:bodyDiv w:val="1"/>
      <w:marLeft w:val="0"/>
      <w:marRight w:val="0"/>
      <w:marTop w:val="0"/>
      <w:marBottom w:val="0"/>
      <w:divBdr>
        <w:top w:val="none" w:sz="0" w:space="0" w:color="auto"/>
        <w:left w:val="none" w:sz="0" w:space="0" w:color="auto"/>
        <w:bottom w:val="none" w:sz="0" w:space="0" w:color="auto"/>
        <w:right w:val="none" w:sz="0" w:space="0" w:color="auto"/>
      </w:divBdr>
      <w:divsChild>
        <w:div w:id="483816649">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8</Pages>
  <Words>3933</Words>
  <Characters>21633</Characters>
  <Application>Microsoft Office Word</Application>
  <DocSecurity>0</DocSecurity>
  <Lines>180</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Arnaud Sénéclauze</dc:creator>
  <cp:keywords/>
  <dc:description/>
  <cp:lastModifiedBy>Arnaud Sénéclauze</cp:lastModifiedBy>
  <cp:revision>6</cp:revision>
  <dcterms:created xsi:type="dcterms:W3CDTF">2025-10-02T15:13:00Z</dcterms:created>
  <dcterms:modified xsi:type="dcterms:W3CDTF">2025-10-03T07:53:00Z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id="S0kxN6pd"/&gt;&lt;style id="http://www.zotero.org/styles/american-medical-association" hasBibliography="1" bibliographyStyleHasBeenSet="1"/&gt;&lt;prefs&gt;&lt;pref name="fieldType" value="Field"/&gt;&lt;pref name="auto</vt:lpwstr>
  </property>
  <property fmtid="{D5CDD505-2E9C-101B-9397-08002B2CF9AE}" pid="3" name="ZOTERO_PREF_2">
    <vt:lpwstr>maticJournalAbbreviations" value="true"/&gt;&lt;/prefs&gt;&lt;/data&gt;</vt:lpwstr>
  </property>
</Properties>
</file>